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AA" w:rsidRDefault="00F259AA" w:rsidP="00F259AA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F259AA" w:rsidRDefault="00F259AA" w:rsidP="00F259AA">
      <w:pPr>
        <w:widowControl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</w:p>
    <w:p w:rsidR="00F259AA" w:rsidRDefault="00F259AA" w:rsidP="00F259AA">
      <w:pPr>
        <w:widowControl/>
        <w:snapToGrid w:val="0"/>
        <w:spacing w:line="560" w:lineRule="exact"/>
        <w:jc w:val="center"/>
        <w:rPr>
          <w:rFonts w:ascii="方正仿宋_GBK" w:eastAsia="方正小标宋_GBK" w:hAnsi="方正仿宋_GBK" w:cs="方正仿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南通市区零售药店申报医保定点协议管理情况公示表（一）</w:t>
      </w:r>
    </w:p>
    <w:tbl>
      <w:tblPr>
        <w:tblpPr w:leftFromText="180" w:rightFromText="180" w:vertAnchor="text" w:horzAnchor="page" w:tblpX="1347" w:tblpY="565"/>
        <w:tblOverlap w:val="never"/>
        <w:tblW w:w="143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1475"/>
        <w:gridCol w:w="900"/>
        <w:gridCol w:w="1863"/>
        <w:gridCol w:w="1012"/>
        <w:gridCol w:w="1163"/>
        <w:gridCol w:w="1187"/>
        <w:gridCol w:w="1038"/>
        <w:gridCol w:w="1075"/>
        <w:gridCol w:w="987"/>
        <w:gridCol w:w="1138"/>
        <w:gridCol w:w="850"/>
        <w:gridCol w:w="700"/>
      </w:tblGrid>
      <w:tr w:rsidR="00F259AA" w:rsidTr="00F463A9">
        <w:trPr>
          <w:trHeight w:val="545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受理编号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药店类型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9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材料审核</w:t>
            </w:r>
          </w:p>
        </w:tc>
      </w:tr>
      <w:tr w:rsidR="00F259AA" w:rsidTr="00F463A9">
        <w:trPr>
          <w:trHeight w:val="2291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药品经营许可证、营业执照情况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法定代表人、主要负责人或实际控制人身份证复印件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执业药师等人员相关证书及其劳动合同复印件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内部管理制度、财务制度及票据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医保管理人员任命书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信息系统相关材料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纳入定点后的预测性分析报告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房产证或租房协议及药店平面图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申请材料齐全、</w:t>
            </w:r>
          </w:p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0"/>
                <w:szCs w:val="20"/>
              </w:rPr>
              <w:t>符合基本条件</w:t>
            </w:r>
          </w:p>
        </w:tc>
      </w:tr>
      <w:tr w:rsidR="00F259AA" w:rsidTr="00F463A9">
        <w:trPr>
          <w:trHeight w:val="85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202500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6"/>
                <w:szCs w:val="16"/>
              </w:rPr>
              <w:t>南通市天阳堂药房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6"/>
                <w:szCs w:val="16"/>
              </w:rPr>
              <w:t>单体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新龙花苑</w:t>
            </w: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号楼</w:t>
            </w: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店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6"/>
                <w:szCs w:val="16"/>
              </w:rPr>
              <w:t>√</w:t>
            </w:r>
          </w:p>
        </w:tc>
      </w:tr>
    </w:tbl>
    <w:p w:rsidR="00F259AA" w:rsidRDefault="00F259AA" w:rsidP="00F259AA">
      <w:pPr>
        <w:spacing w:line="59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F259AA" w:rsidRDefault="00F259AA" w:rsidP="00F259AA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259AA" w:rsidRDefault="00F259AA" w:rsidP="00F259AA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259AA" w:rsidRDefault="00F259AA" w:rsidP="00F259AA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259AA" w:rsidRDefault="00F259AA" w:rsidP="00F259AA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F259AA" w:rsidRDefault="00F259AA" w:rsidP="00F259AA">
      <w:pPr>
        <w:widowControl/>
        <w:snapToGrid w:val="0"/>
        <w:spacing w:line="560" w:lineRule="exact"/>
        <w:jc w:val="center"/>
        <w:rPr>
          <w:rFonts w:ascii="方正仿宋_GBK" w:eastAsia="方正小标宋_GBK" w:hAnsi="方正仿宋_GBK" w:cs="方正仿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南通市区零售药店申报医保定点协议管理情况公示表（二）</w:t>
      </w:r>
    </w:p>
    <w:tbl>
      <w:tblPr>
        <w:tblStyle w:val="a5"/>
        <w:tblpPr w:leftFromText="180" w:rightFromText="180" w:vertAnchor="text" w:horzAnchor="page" w:tblpX="1345" w:tblpY="394"/>
        <w:tblOverlap w:val="never"/>
        <w:tblW w:w="14112" w:type="dxa"/>
        <w:tblLayout w:type="fixed"/>
        <w:tblLook w:val="04A0"/>
      </w:tblPr>
      <w:tblGrid>
        <w:gridCol w:w="1012"/>
        <w:gridCol w:w="2075"/>
        <w:gridCol w:w="775"/>
        <w:gridCol w:w="2863"/>
        <w:gridCol w:w="662"/>
        <w:gridCol w:w="4038"/>
        <w:gridCol w:w="787"/>
        <w:gridCol w:w="775"/>
        <w:gridCol w:w="1125"/>
      </w:tblGrid>
      <w:tr w:rsidR="00F259AA" w:rsidTr="00F463A9">
        <w:trPr>
          <w:trHeight w:hRule="exact" w:val="343"/>
        </w:trPr>
        <w:tc>
          <w:tcPr>
            <w:tcW w:w="1012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受理</w:t>
            </w:r>
          </w:p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2075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75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药店</w:t>
            </w:r>
          </w:p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2863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7387" w:type="dxa"/>
            <w:gridSpan w:val="5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现场评估</w:t>
            </w:r>
          </w:p>
        </w:tc>
      </w:tr>
      <w:tr w:rsidR="00F259AA" w:rsidTr="00F463A9">
        <w:trPr>
          <w:trHeight w:hRule="exact" w:val="356"/>
        </w:trPr>
        <w:tc>
          <w:tcPr>
            <w:tcW w:w="1012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20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2863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  <w:t>评估项目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评估结果</w:t>
            </w: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202500</w:t>
            </w:r>
            <w:r>
              <w:rPr>
                <w:rFonts w:eastAsia="方正仿宋_GBK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75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南通市天阳堂药房</w:t>
            </w:r>
          </w:p>
        </w:tc>
        <w:tc>
          <w:tcPr>
            <w:tcW w:w="775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 w:val="21"/>
                <w:szCs w:val="21"/>
              </w:rPr>
              <w:t>单体</w:t>
            </w:r>
          </w:p>
        </w:tc>
        <w:tc>
          <w:tcPr>
            <w:tcW w:w="2863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新龙花苑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1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号楼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23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、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24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店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建立完善的医保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药品管理制度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  <w:r>
              <w:rPr>
                <w:rFonts w:eastAsia="方正仿宋_GBK" w:hint="eastAsia"/>
                <w:spacing w:val="1"/>
                <w:kern w:val="2"/>
                <w:sz w:val="21"/>
                <w:szCs w:val="21"/>
              </w:rPr>
              <w:t>10</w:t>
            </w:r>
          </w:p>
        </w:tc>
        <w:tc>
          <w:tcPr>
            <w:tcW w:w="775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  <w:r>
              <w:rPr>
                <w:rFonts w:eastAsia="方正仿宋_GBK" w:hint="eastAsia"/>
                <w:spacing w:val="1"/>
                <w:kern w:val="2"/>
                <w:sz w:val="21"/>
                <w:szCs w:val="21"/>
              </w:rPr>
              <w:t xml:space="preserve">133 </w:t>
            </w:r>
          </w:p>
        </w:tc>
        <w:tc>
          <w:tcPr>
            <w:tcW w:w="1125" w:type="dxa"/>
            <w:vMerge w:val="restart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  <w:r>
              <w:rPr>
                <w:rFonts w:eastAsia="方正仿宋_GBK" w:hint="eastAsia"/>
                <w:spacing w:val="1"/>
                <w:kern w:val="2"/>
                <w:sz w:val="21"/>
                <w:szCs w:val="21"/>
              </w:rPr>
              <w:t>合格</w:t>
            </w: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1"/>
                <w:sz w:val="21"/>
                <w:szCs w:val="21"/>
                <w:lang w:eastAsia="zh-CN"/>
              </w:rPr>
              <w:t>建立完善的财务</w:t>
            </w:r>
            <w:r>
              <w:rPr>
                <w:rFonts w:ascii="Times New Roman" w:eastAsia="方正仿宋_GBK" w:hAnsi="Times New Roman" w:cs="Times New Roman"/>
                <w:spacing w:val="4"/>
                <w:sz w:val="21"/>
                <w:szCs w:val="21"/>
                <w:lang w:eastAsia="zh-CN"/>
              </w:rPr>
              <w:t>管理制度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  <w:r>
              <w:rPr>
                <w:rFonts w:eastAsia="方正仿宋_GBK" w:hint="eastAsia"/>
                <w:spacing w:val="1"/>
                <w:kern w:val="2"/>
                <w:sz w:val="21"/>
                <w:szCs w:val="21"/>
              </w:rPr>
              <w:t>10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3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建立完善的医保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人员管理制度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  <w:r>
              <w:rPr>
                <w:rFonts w:eastAsia="方正仿宋_GBK" w:hint="eastAsia"/>
                <w:spacing w:val="1"/>
                <w:kern w:val="2"/>
                <w:sz w:val="21"/>
                <w:szCs w:val="21"/>
              </w:rPr>
              <w:t>10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1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配备医保要求的</w:t>
            </w:r>
            <w:r>
              <w:rPr>
                <w:rFonts w:ascii="Times New Roman" w:eastAsia="方正仿宋_GBK" w:hAnsi="Times New Roman" w:cs="Times New Roman"/>
                <w:spacing w:val="4"/>
                <w:sz w:val="21"/>
                <w:szCs w:val="21"/>
                <w:lang w:eastAsia="zh-CN"/>
              </w:rPr>
              <w:t>硬件装置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kern w:val="2"/>
                <w:sz w:val="21"/>
                <w:szCs w:val="21"/>
              </w:rPr>
              <w:t>20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5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建立规范的药械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进货管理制度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-4"/>
                <w:kern w:val="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6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设立维护医保要</w:t>
            </w: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求的基础数据库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  <w:r>
              <w:rPr>
                <w:rFonts w:eastAsia="方正仿宋_GBK" w:hint="eastAsia"/>
                <w:spacing w:val="-4"/>
                <w:kern w:val="2"/>
                <w:sz w:val="21"/>
                <w:szCs w:val="21"/>
              </w:rPr>
              <w:t>10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7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</w:rPr>
              <w:t>开展医保政策宣</w:t>
            </w:r>
            <w:r>
              <w:rPr>
                <w:rFonts w:ascii="Times New Roman" w:eastAsia="方正仿宋_GBK" w:hAnsi="Times New Roman" w:cs="Times New Roman"/>
                <w:spacing w:val="8"/>
                <w:sz w:val="21"/>
                <w:szCs w:val="21"/>
              </w:rPr>
              <w:t>传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  <w:r>
              <w:rPr>
                <w:rFonts w:eastAsia="方正仿宋_GBK" w:hint="eastAsia"/>
                <w:spacing w:val="-4"/>
                <w:kern w:val="2"/>
                <w:sz w:val="21"/>
                <w:szCs w:val="21"/>
              </w:rPr>
              <w:t>10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8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</w:rPr>
              <w:t>合理定价制度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  <w:r>
              <w:rPr>
                <w:rFonts w:eastAsia="方正仿宋_GBK" w:hint="eastAsia"/>
                <w:spacing w:val="-4"/>
                <w:kern w:val="2"/>
                <w:sz w:val="21"/>
                <w:szCs w:val="21"/>
              </w:rPr>
              <w:t>8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9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</w:rPr>
              <w:t>设置监控设备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  <w:r>
              <w:rPr>
                <w:rFonts w:eastAsia="方正仿宋_GBK" w:hint="eastAsia"/>
                <w:spacing w:val="-4"/>
                <w:kern w:val="2"/>
                <w:sz w:val="21"/>
                <w:szCs w:val="21"/>
              </w:rPr>
              <w:t>5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10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22"/>
              <w:jc w:val="center"/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1"/>
                <w:szCs w:val="21"/>
                <w:lang w:eastAsia="zh-CN"/>
              </w:rPr>
              <w:t>对医保基金影响</w:t>
            </w:r>
            <w:r>
              <w:rPr>
                <w:rFonts w:ascii="Times New Roman" w:eastAsia="方正仿宋_GBK" w:hAnsi="Times New Roman" w:cs="Times New Roman"/>
                <w:spacing w:val="1"/>
                <w:sz w:val="21"/>
                <w:szCs w:val="21"/>
                <w:lang w:eastAsia="zh-CN"/>
              </w:rPr>
              <w:t>的预测性分析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  <w:r>
              <w:rPr>
                <w:rFonts w:eastAsia="方正仿宋_GBK" w:hint="eastAsia"/>
                <w:spacing w:val="-4"/>
                <w:kern w:val="2"/>
                <w:sz w:val="21"/>
                <w:szCs w:val="21"/>
              </w:rPr>
              <w:t>10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4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11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具备稳定独立的</w:t>
            </w:r>
            <w:r>
              <w:rPr>
                <w:rFonts w:ascii="Times New Roman" w:eastAsia="方正仿宋_GBK" w:hAnsi="Times New Roman" w:cs="Times New Roman"/>
                <w:spacing w:val="4"/>
                <w:sz w:val="21"/>
                <w:szCs w:val="21"/>
                <w:lang w:eastAsia="zh-CN"/>
              </w:rPr>
              <w:t>营业场所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黑体_GBK" w:hAnsi="Times New Roman" w:cs="Times New Roman" w:hint="eastAsia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12"/>
              <w:jc w:val="center"/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12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12"/>
              <w:jc w:val="center"/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</w:rPr>
              <w:t>场地使用有效期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  <w:r>
              <w:rPr>
                <w:rFonts w:eastAsia="方正仿宋_GBK" w:hint="eastAsia"/>
                <w:spacing w:val="-8"/>
                <w:kern w:val="2"/>
                <w:sz w:val="21"/>
                <w:szCs w:val="21"/>
              </w:rPr>
              <w:t>10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</w:p>
        </w:tc>
      </w:tr>
      <w:tr w:rsidR="00F259AA" w:rsidTr="00F463A9">
        <w:trPr>
          <w:trHeight w:hRule="exact" w:val="476"/>
        </w:trPr>
        <w:tc>
          <w:tcPr>
            <w:tcW w:w="1012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75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12"/>
              <w:jc w:val="center"/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</w:rPr>
            </w:pPr>
          </w:p>
        </w:tc>
        <w:tc>
          <w:tcPr>
            <w:tcW w:w="2863" w:type="dxa"/>
            <w:vMerge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</w:rPr>
              <w:t>13</w:t>
            </w:r>
          </w:p>
        </w:tc>
        <w:tc>
          <w:tcPr>
            <w:tcW w:w="4038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pStyle w:val="TableText"/>
              <w:spacing w:line="360" w:lineRule="exact"/>
              <w:ind w:left="12"/>
              <w:jc w:val="center"/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-4"/>
                <w:sz w:val="21"/>
                <w:szCs w:val="21"/>
                <w:lang w:eastAsia="zh-CN"/>
              </w:rPr>
              <w:t>药师配备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  <w:r>
              <w:rPr>
                <w:rFonts w:eastAsia="方正仿宋_GBK" w:hint="eastAsia"/>
                <w:spacing w:val="-8"/>
                <w:kern w:val="2"/>
                <w:sz w:val="21"/>
                <w:szCs w:val="21"/>
              </w:rPr>
              <w:t>0</w:t>
            </w:r>
          </w:p>
        </w:tc>
        <w:tc>
          <w:tcPr>
            <w:tcW w:w="77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:rsidR="00F259AA" w:rsidRDefault="00F259AA" w:rsidP="00F463A9">
            <w:pPr>
              <w:spacing w:line="360" w:lineRule="exact"/>
              <w:jc w:val="center"/>
              <w:rPr>
                <w:rFonts w:eastAsia="方正仿宋_GBK"/>
                <w:spacing w:val="-8"/>
                <w:szCs w:val="21"/>
              </w:rPr>
            </w:pPr>
          </w:p>
        </w:tc>
      </w:tr>
    </w:tbl>
    <w:p w:rsidR="00F259AA" w:rsidRDefault="00F259AA" w:rsidP="00F259AA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</w:p>
    <w:p w:rsidR="00F259AA" w:rsidRDefault="00F259AA" w:rsidP="00F259AA">
      <w:pPr>
        <w:spacing w:line="59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南通市区零售药店申报定点协议管理基本情况表</w:t>
      </w:r>
    </w:p>
    <w:tbl>
      <w:tblPr>
        <w:tblpPr w:leftFromText="180" w:rightFromText="180" w:vertAnchor="text" w:horzAnchor="page" w:tblpX="2145" w:tblpY="736"/>
        <w:tblOverlap w:val="never"/>
        <w:tblW w:w="12925" w:type="dxa"/>
        <w:tblLayout w:type="fixed"/>
        <w:tblLook w:val="04A0"/>
      </w:tblPr>
      <w:tblGrid>
        <w:gridCol w:w="688"/>
        <w:gridCol w:w="817"/>
        <w:gridCol w:w="1080"/>
        <w:gridCol w:w="1890"/>
        <w:gridCol w:w="1050"/>
        <w:gridCol w:w="2613"/>
        <w:gridCol w:w="887"/>
        <w:gridCol w:w="1188"/>
        <w:gridCol w:w="975"/>
        <w:gridCol w:w="687"/>
        <w:gridCol w:w="1050"/>
      </w:tblGrid>
      <w:tr w:rsidR="00F259AA" w:rsidTr="00F463A9">
        <w:trPr>
          <w:trHeight w:val="126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单位</w:t>
            </w:r>
          </w:p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编码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受理编号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药店名称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药店类型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地址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所属</w:t>
            </w:r>
          </w:p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街道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申报面积（平方米）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执业</w:t>
            </w:r>
          </w:p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药师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药学技术人员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医保管理人员</w:t>
            </w:r>
          </w:p>
        </w:tc>
      </w:tr>
      <w:tr w:rsidR="00F259AA" w:rsidTr="00F463A9">
        <w:trPr>
          <w:trHeight w:val="129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853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202500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41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0"/>
                <w:szCs w:val="20"/>
              </w:rPr>
              <w:t>南通市天阳堂药房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51"/>
                <w:rFonts w:hint="eastAsia"/>
                <w:lang/>
              </w:rPr>
              <w:t>单体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41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新龙花苑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号楼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23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24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店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410" w:lineRule="exact"/>
              <w:jc w:val="center"/>
              <w:textAlignment w:val="center"/>
              <w:rPr>
                <w:rStyle w:val="font51"/>
                <w:lang/>
              </w:rPr>
            </w:pPr>
            <w:r>
              <w:rPr>
                <w:rStyle w:val="font51"/>
                <w:rFonts w:hint="eastAsia"/>
                <w:lang/>
              </w:rPr>
              <w:t>城东</w:t>
            </w:r>
          </w:p>
          <w:p w:rsidR="00F259AA" w:rsidRDefault="00F259AA" w:rsidP="00F463A9">
            <w:pPr>
              <w:widowControl/>
              <w:spacing w:line="41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51"/>
                <w:rFonts w:hint="eastAsia"/>
                <w:lang/>
              </w:rPr>
              <w:t>街道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81.8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AA" w:rsidRDefault="00F259AA" w:rsidP="00F463A9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</w:t>
            </w:r>
          </w:p>
        </w:tc>
      </w:tr>
    </w:tbl>
    <w:p w:rsidR="00F259AA" w:rsidRDefault="00F259AA" w:rsidP="00F259AA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A877B4" w:rsidRDefault="00A877B4"/>
    <w:sectPr w:rsidR="00A877B4" w:rsidSect="00FE7997">
      <w:pgSz w:w="16838" w:h="11906" w:orient="landscape"/>
      <w:pgMar w:top="1797" w:right="1440" w:bottom="1559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7B4" w:rsidRDefault="00A877B4" w:rsidP="00F259AA">
      <w:r>
        <w:separator/>
      </w:r>
    </w:p>
  </w:endnote>
  <w:endnote w:type="continuationSeparator" w:id="1">
    <w:p w:rsidR="00A877B4" w:rsidRDefault="00A877B4" w:rsidP="00F25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7B4" w:rsidRDefault="00A877B4" w:rsidP="00F259AA">
      <w:r>
        <w:separator/>
      </w:r>
    </w:p>
  </w:footnote>
  <w:footnote w:type="continuationSeparator" w:id="1">
    <w:p w:rsidR="00A877B4" w:rsidRDefault="00A877B4" w:rsidP="00F25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9AA"/>
    <w:rsid w:val="00A877B4"/>
    <w:rsid w:val="00F2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9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9AA"/>
    <w:rPr>
      <w:sz w:val="18"/>
      <w:szCs w:val="18"/>
    </w:rPr>
  </w:style>
  <w:style w:type="table" w:styleId="a5">
    <w:name w:val="Table Grid"/>
    <w:basedOn w:val="a1"/>
    <w:qFormat/>
    <w:rsid w:val="00F259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sid w:val="00F259AA"/>
    <w:rPr>
      <w:rFonts w:ascii="宋体" w:eastAsia="宋体" w:hAnsi="宋体" w:cs="宋体"/>
      <w:sz w:val="23"/>
      <w:szCs w:val="23"/>
      <w:lang w:eastAsia="en-US"/>
    </w:rPr>
  </w:style>
  <w:style w:type="character" w:customStyle="1" w:styleId="font51">
    <w:name w:val="font51"/>
    <w:basedOn w:val="a0"/>
    <w:qFormat/>
    <w:rsid w:val="00F259AA"/>
    <w:rPr>
      <w:rFonts w:ascii="方正仿宋_GBK" w:eastAsia="方正仿宋_GBK" w:hAnsi="方正仿宋_GBK" w:cs="方正仿宋_GBK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李舒</dc:creator>
  <cp:keywords/>
  <dc:description/>
  <cp:lastModifiedBy>李舒</cp:lastModifiedBy>
  <cp:revision>2</cp:revision>
  <dcterms:created xsi:type="dcterms:W3CDTF">2025-09-22T06:47:00Z</dcterms:created>
  <dcterms:modified xsi:type="dcterms:W3CDTF">2025-09-22T06:47:00Z</dcterms:modified>
</cp:coreProperties>
</file>