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附件：             </w:t>
      </w:r>
      <w:bookmarkStart w:id="0" w:name="_GoBack"/>
      <w:r>
        <w:rPr>
          <w:rFonts w:hint="eastAsia" w:ascii="仿宋" w:hAnsi="仿宋" w:eastAsia="仿宋"/>
          <w:b/>
          <w:bCs/>
          <w:sz w:val="32"/>
          <w:szCs w:val="32"/>
        </w:rPr>
        <w:t>市区医疗机构申报医保定点协议管理情况公示表</w:t>
      </w:r>
      <w:bookmarkEnd w:id="0"/>
    </w:p>
    <w:tbl>
      <w:tblPr>
        <w:tblStyle w:val="2"/>
        <w:tblpPr w:leftFromText="180" w:rightFromText="180" w:vertAnchor="page" w:horzAnchor="page" w:tblpX="741" w:tblpY="2458"/>
        <w:tblW w:w="150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090"/>
        <w:gridCol w:w="744"/>
        <w:gridCol w:w="1541"/>
        <w:gridCol w:w="754"/>
        <w:gridCol w:w="600"/>
        <w:gridCol w:w="765"/>
        <w:gridCol w:w="585"/>
        <w:gridCol w:w="660"/>
        <w:gridCol w:w="735"/>
        <w:gridCol w:w="615"/>
        <w:gridCol w:w="584"/>
        <w:gridCol w:w="601"/>
        <w:gridCol w:w="675"/>
        <w:gridCol w:w="765"/>
        <w:gridCol w:w="465"/>
        <w:gridCol w:w="690"/>
        <w:gridCol w:w="547"/>
        <w:gridCol w:w="692"/>
        <w:gridCol w:w="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受理编号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单位名称</w:t>
            </w:r>
          </w:p>
        </w:tc>
        <w:tc>
          <w:tcPr>
            <w:tcW w:w="7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1126" w:leftChars="-53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 xml:space="preserve"> 医疗机</w:t>
            </w:r>
          </w:p>
          <w:p>
            <w:pPr>
              <w:widowControl/>
              <w:ind w:left="-1126" w:leftChars="-536"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构类型</w:t>
            </w:r>
          </w:p>
        </w:tc>
        <w:tc>
          <w:tcPr>
            <w:tcW w:w="15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地址</w:t>
            </w:r>
          </w:p>
        </w:tc>
        <w:tc>
          <w:tcPr>
            <w:tcW w:w="3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材料审核</w:t>
            </w:r>
          </w:p>
        </w:tc>
        <w:tc>
          <w:tcPr>
            <w:tcW w:w="513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现场复核</w:t>
            </w:r>
          </w:p>
        </w:tc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其他情况</w:t>
            </w:r>
          </w:p>
        </w:tc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符合纳入医保协议管理基本条件</w:t>
            </w:r>
          </w:p>
        </w:tc>
        <w:tc>
          <w:tcPr>
            <w:tcW w:w="8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0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医保管理人员任命书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医疗机构执业许可证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医保对应内部管理制度和财务制度及票据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医保机构信息系统相关材料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使用医疗保障基金预测分析报告</w:t>
            </w:r>
          </w:p>
        </w:tc>
        <w:tc>
          <w:tcPr>
            <w:tcW w:w="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实际经营地址与证照相符/证照名称与实际一致情况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《医疗机构执业许可证》的有效性</w:t>
            </w:r>
          </w:p>
        </w:tc>
        <w:tc>
          <w:tcPr>
            <w:tcW w:w="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科室设置情况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ind w:left="-31" w:leftChars="-15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药品进销存实行电算化管理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注册执业医师、护士、药师（士）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实际使用床位数(口腔诊所牙椅数)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诊疗环境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  <w:t>内部各项管理规章制度及财务票据</w:t>
            </w:r>
          </w:p>
        </w:tc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2026002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和熙护理院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护理院（站）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南通市崇川区江纬路251号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50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Y</w:t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2026003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南通申丞钟秀护理院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护理院（站）</w:t>
            </w:r>
          </w:p>
        </w:tc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  <w:lang w:val="en-US" w:eastAsia="zh-CN"/>
              </w:rPr>
              <w:t>南通市崇川区钟秀街道中新二路10号2号楼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/>
              </w:rPr>
              <w:t>108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√</w:t>
            </w:r>
          </w:p>
        </w:tc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－</w:t>
            </w:r>
          </w:p>
        </w:tc>
        <w:tc>
          <w:tcPr>
            <w:tcW w:w="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6"/>
                <w:szCs w:val="16"/>
              </w:rPr>
            </w:pPr>
          </w:p>
        </w:tc>
      </w:tr>
    </w:tbl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C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2026-03-17T07:06:18Z</dcterms:created>
  <dc:creator>PC</dc:creator>
  <cp:lastModifiedBy>PC</cp:lastModifiedBy>
  <dcterms:modified xsi:type="dcterms:W3CDTF">2026-03-17T07:06:26Z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