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A452">
      <w:pPr>
        <w:spacing w:line="360" w:lineRule="auto"/>
        <w:jc w:val="center"/>
        <w:rPr>
          <w:rFonts w:ascii="黑体" w:hAnsi="黑体" w:eastAsia="黑体"/>
          <w:b/>
          <w:sz w:val="36"/>
          <w:szCs w:val="36"/>
        </w:rPr>
      </w:pPr>
      <w:r>
        <w:rPr>
          <w:rFonts w:hint="eastAsia" w:ascii="黑体" w:hAnsi="黑体" w:eastAsia="黑体"/>
          <w:b/>
          <w:sz w:val="36"/>
          <w:szCs w:val="36"/>
        </w:rPr>
        <w:t>江苏省内长期居住异地就医联网结算须知</w:t>
      </w:r>
    </w:p>
    <w:p w14:paraId="763C5D3B">
      <w:pPr>
        <w:spacing w:line="400" w:lineRule="exact"/>
        <w:ind w:firstLine="480" w:firstLineChars="200"/>
        <w:jc w:val="left"/>
        <w:rPr>
          <w:rFonts w:hint="eastAsia" w:ascii="仿宋" w:hAnsi="仿宋" w:eastAsia="仿宋"/>
          <w:color w:val="000000" w:themeColor="text1"/>
          <w:sz w:val="24"/>
          <w:szCs w:val="24"/>
          <w14:textFill>
            <w14:solidFill>
              <w14:schemeClr w14:val="tx1"/>
            </w14:solidFill>
          </w14:textFill>
        </w:rPr>
      </w:pPr>
    </w:p>
    <w:p w14:paraId="61FCC4E3">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尊敬的医疗保险参保人员：</w:t>
      </w:r>
    </w:p>
    <w:p w14:paraId="1F658072">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您已</w:t>
      </w:r>
      <w:r>
        <w:rPr>
          <w:rFonts w:hint="eastAsia" w:ascii="仿宋" w:hAnsi="仿宋" w:eastAsia="仿宋"/>
          <w:color w:val="000000" w:themeColor="text1"/>
          <w:sz w:val="24"/>
          <w:szCs w:val="24"/>
          <w:lang w:val="en-US" w:eastAsia="zh-CN"/>
          <w14:textFill>
            <w14:solidFill>
              <w14:schemeClr w14:val="tx1"/>
            </w14:solidFill>
          </w14:textFill>
        </w:rPr>
        <w:t>办理省内</w:t>
      </w:r>
      <w:r>
        <w:rPr>
          <w:rFonts w:hint="eastAsia" w:ascii="仿宋" w:hAnsi="仿宋" w:eastAsia="仿宋"/>
          <w:color w:val="000000" w:themeColor="text1"/>
          <w:sz w:val="24"/>
          <w:szCs w:val="24"/>
          <w14:textFill>
            <w14:solidFill>
              <w14:schemeClr w14:val="tx1"/>
            </w14:solidFill>
          </w14:textFill>
        </w:rPr>
        <w:t>（指南通大市外、江苏省内，下同）异地就医</w:t>
      </w:r>
      <w:r>
        <w:rPr>
          <w:rFonts w:hint="eastAsia" w:ascii="仿宋" w:hAnsi="仿宋" w:eastAsia="仿宋"/>
          <w:color w:val="000000" w:themeColor="text1"/>
          <w:sz w:val="24"/>
          <w:szCs w:val="24"/>
          <w:lang w:val="en-US" w:eastAsia="zh-CN"/>
          <w14:textFill>
            <w14:solidFill>
              <w14:schemeClr w14:val="tx1"/>
            </w14:solidFill>
          </w14:textFill>
        </w:rPr>
        <w:t>备案手续</w:t>
      </w:r>
      <w:r>
        <w:rPr>
          <w:rFonts w:hint="eastAsia" w:ascii="仿宋" w:hAnsi="仿宋" w:eastAsia="仿宋"/>
          <w:color w:val="000000" w:themeColor="text1"/>
          <w:sz w:val="24"/>
          <w:szCs w:val="24"/>
          <w14:textFill>
            <w14:solidFill>
              <w14:schemeClr w14:val="tx1"/>
            </w14:solidFill>
          </w14:textFill>
        </w:rPr>
        <w:t>，可持江苏省社会保障卡</w:t>
      </w:r>
      <w:r>
        <w:rPr>
          <w:rFonts w:hint="eastAsia" w:ascii="仿宋" w:hAnsi="仿宋" w:eastAsia="仿宋"/>
          <w:color w:val="000000" w:themeColor="text1"/>
          <w:sz w:val="24"/>
          <w:szCs w:val="24"/>
          <w:lang w:val="en-US" w:eastAsia="zh-CN"/>
          <w14:textFill>
            <w14:solidFill>
              <w14:schemeClr w14:val="tx1"/>
            </w14:solidFill>
          </w14:textFill>
        </w:rPr>
        <w:t>或医保电子凭证等，</w:t>
      </w:r>
      <w:r>
        <w:rPr>
          <w:rFonts w:hint="eastAsia" w:ascii="仿宋" w:hAnsi="仿宋" w:eastAsia="仿宋"/>
          <w:color w:val="000000" w:themeColor="text1"/>
          <w:sz w:val="24"/>
          <w:szCs w:val="24"/>
          <w14:textFill>
            <w14:solidFill>
              <w14:schemeClr w14:val="tx1"/>
            </w14:solidFill>
          </w14:textFill>
        </w:rPr>
        <w:t>在备案地的</w:t>
      </w:r>
      <w:r>
        <w:rPr>
          <w:rFonts w:hint="eastAsia" w:ascii="仿宋" w:hAnsi="仿宋" w:eastAsia="仿宋"/>
          <w:color w:val="000000" w:themeColor="text1"/>
          <w:sz w:val="24"/>
          <w:szCs w:val="24"/>
          <w:lang w:val="en-US" w:eastAsia="zh-CN"/>
          <w14:textFill>
            <w14:solidFill>
              <w14:schemeClr w14:val="tx1"/>
            </w14:solidFill>
          </w14:textFill>
        </w:rPr>
        <w:t>省内</w:t>
      </w:r>
      <w:r>
        <w:rPr>
          <w:rFonts w:hint="eastAsia" w:ascii="仿宋" w:hAnsi="仿宋" w:eastAsia="仿宋"/>
          <w:color w:val="000000" w:themeColor="text1"/>
          <w:sz w:val="24"/>
          <w:szCs w:val="24"/>
          <w14:textFill>
            <w14:solidFill>
              <w14:schemeClr w14:val="tx1"/>
            </w14:solidFill>
          </w14:textFill>
        </w:rPr>
        <w:t>异地就医联网</w:t>
      </w:r>
      <w:r>
        <w:rPr>
          <w:rFonts w:hint="eastAsia" w:ascii="仿宋" w:hAnsi="仿宋" w:eastAsia="仿宋"/>
          <w:color w:val="000000" w:themeColor="text1"/>
          <w:sz w:val="24"/>
          <w:szCs w:val="24"/>
          <w:lang w:val="en-US" w:eastAsia="zh-CN"/>
          <w14:textFill>
            <w14:solidFill>
              <w14:schemeClr w14:val="tx1"/>
            </w14:solidFill>
          </w14:textFill>
        </w:rPr>
        <w:t>结算定点</w:t>
      </w:r>
      <w:r>
        <w:rPr>
          <w:rFonts w:hint="eastAsia" w:ascii="仿宋" w:hAnsi="仿宋" w:eastAsia="仿宋"/>
          <w:color w:val="000000" w:themeColor="text1"/>
          <w:sz w:val="24"/>
          <w:szCs w:val="24"/>
          <w14:textFill>
            <w14:solidFill>
              <w14:schemeClr w14:val="tx1"/>
            </w14:solidFill>
          </w14:textFill>
        </w:rPr>
        <w:t>医</w:t>
      </w:r>
      <w:r>
        <w:rPr>
          <w:rFonts w:hint="eastAsia" w:ascii="仿宋" w:hAnsi="仿宋" w:eastAsia="仿宋"/>
          <w:color w:val="000000" w:themeColor="text1"/>
          <w:sz w:val="24"/>
          <w:szCs w:val="24"/>
          <w:lang w:val="en-US" w:eastAsia="zh-CN"/>
          <w14:textFill>
            <w14:solidFill>
              <w14:schemeClr w14:val="tx1"/>
            </w14:solidFill>
          </w14:textFill>
        </w:rPr>
        <w:t>药</w:t>
      </w:r>
      <w:r>
        <w:rPr>
          <w:rFonts w:hint="eastAsia" w:ascii="仿宋" w:hAnsi="仿宋" w:eastAsia="仿宋"/>
          <w:color w:val="000000" w:themeColor="text1"/>
          <w:sz w:val="24"/>
          <w:szCs w:val="24"/>
          <w14:textFill>
            <w14:solidFill>
              <w14:schemeClr w14:val="tx1"/>
            </w14:solidFill>
          </w14:textFill>
        </w:rPr>
        <w:t>机构</w:t>
      </w:r>
      <w:r>
        <w:rPr>
          <w:rFonts w:hint="eastAsia" w:ascii="仿宋" w:hAnsi="仿宋" w:eastAsia="仿宋"/>
          <w:color w:val="000000" w:themeColor="text1"/>
          <w:sz w:val="24"/>
          <w:szCs w:val="24"/>
          <w:lang w:val="en-US" w:eastAsia="zh-CN"/>
          <w14:textFill>
            <w14:solidFill>
              <w14:schemeClr w14:val="tx1"/>
            </w14:solidFill>
          </w14:textFill>
        </w:rPr>
        <w:t>直接</w:t>
      </w:r>
      <w:r>
        <w:rPr>
          <w:rFonts w:hint="eastAsia" w:ascii="仿宋" w:hAnsi="仿宋" w:eastAsia="仿宋"/>
          <w:color w:val="000000" w:themeColor="text1"/>
          <w:sz w:val="24"/>
          <w:szCs w:val="24"/>
          <w14:textFill>
            <w14:solidFill>
              <w14:schemeClr w14:val="tx1"/>
            </w14:solidFill>
          </w14:textFill>
        </w:rPr>
        <w:t>结算</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按规定享受南通医保相关待遇</w:t>
      </w:r>
      <w:r>
        <w:rPr>
          <w:rFonts w:hint="eastAsia" w:ascii="仿宋" w:hAnsi="仿宋" w:eastAsia="仿宋"/>
          <w:color w:val="000000" w:themeColor="text1"/>
          <w:sz w:val="24"/>
          <w:szCs w:val="24"/>
          <w14:textFill>
            <w14:solidFill>
              <w14:schemeClr w14:val="tx1"/>
            </w14:solidFill>
          </w14:textFill>
        </w:rPr>
        <w:t xml:space="preserve">。现将异地就医联网结算相关政策及有关事项向您告知如下： </w:t>
      </w:r>
    </w:p>
    <w:p w14:paraId="0E016235">
      <w:pPr>
        <w:numPr>
          <w:ilvl w:val="255"/>
          <w:numId w:val="0"/>
        </w:numPr>
        <w:spacing w:line="400" w:lineRule="exact"/>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一、待遇享受</w:t>
      </w:r>
    </w:p>
    <w:p w14:paraId="3072F78F">
      <w:pPr>
        <w:numPr>
          <w:ilvl w:val="255"/>
          <w:numId w:val="0"/>
        </w:numPr>
        <w:spacing w:line="400" w:lineRule="exact"/>
        <w:ind w:firstLine="480"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已办理省内长期居住异地就医备案手续的参保人员，在备案地的省内异地就医联网定点医疗机构须直接刷卡结算门诊、住院医疗费用，按照参保地医疗保险政策享受待遇。其中：</w:t>
      </w:r>
    </w:p>
    <w:p w14:paraId="151BBC07">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普通门诊统筹待遇</w:t>
      </w:r>
    </w:p>
    <w:p w14:paraId="44A85F20">
      <w:pPr>
        <w:spacing w:line="40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职工医保参保人员办理长居</w:t>
      </w:r>
      <w:r>
        <w:rPr>
          <w:rFonts w:hint="eastAsia" w:ascii="仿宋" w:hAnsi="仿宋" w:eastAsia="仿宋"/>
          <w:color w:val="000000" w:themeColor="text1"/>
          <w:sz w:val="24"/>
          <w:szCs w:val="24"/>
          <w:lang w:val="en-US" w:eastAsia="zh-CN"/>
          <w14:textFill>
            <w14:solidFill>
              <w14:schemeClr w14:val="tx1"/>
            </w14:solidFill>
          </w14:textFill>
        </w:rPr>
        <w:t>省内</w:t>
      </w:r>
      <w:r>
        <w:rPr>
          <w:rFonts w:hint="eastAsia" w:ascii="仿宋" w:hAnsi="仿宋" w:eastAsia="仿宋"/>
          <w:color w:val="000000" w:themeColor="text1"/>
          <w:sz w:val="24"/>
          <w:szCs w:val="24"/>
          <w14:textFill>
            <w14:solidFill>
              <w14:schemeClr w14:val="tx1"/>
            </w14:solidFill>
          </w14:textFill>
        </w:rPr>
        <w:t>异地就医备案手续后，</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一个结算年度内在规定的定点医疗机构门诊就医发生的，符合基本医疗保险政策范围的普通门诊费用，超过起付标准以上，纳入门诊统筹基金支付范围，由统筹基金在限额内按比例支付。</w:t>
      </w:r>
    </w:p>
    <w:p w14:paraId="3476B468">
      <w:pPr>
        <w:numPr>
          <w:ilvl w:val="-1"/>
          <w:numId w:val="0"/>
        </w:numPr>
        <w:spacing w:line="400" w:lineRule="exact"/>
        <w:ind w:firstLine="480" w:firstLineChars="200"/>
        <w:rPr>
          <w:ins w:id="0" w:author="Waitting〰M" w:date="2025-01-06T10:35:00Z"/>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城乡居民基本医疗保险参保人员办理异地就医备案后，在就医地社区卫生服务中心和卫生院就医时，发生的符合基本医疗保险政策范围的普通门(急)诊费用，可以由城乡居民基本医疗保险基金在限额内按照比例支付:一个结算年度内最高支付费用限额为800元，基金支付比例为50%。</w:t>
      </w:r>
    </w:p>
    <w:p w14:paraId="1A43F366">
      <w:pPr>
        <w:pStyle w:val="12"/>
        <w:numPr>
          <w:ilvl w:val="0"/>
          <w:numId w:val="0"/>
        </w:numPr>
        <w:spacing w:line="400" w:lineRule="exact"/>
        <w:ind w:firstLine="480" w:firstLineChars="200"/>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2.特殊病门诊待遇</w:t>
      </w:r>
    </w:p>
    <w:p w14:paraId="57629B56">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 参保人员在</w:t>
      </w:r>
      <w:r>
        <w:rPr>
          <w:rFonts w:hint="eastAsia" w:ascii="方正仿宋_GBK" w:hAnsi="方正仿宋_GBK" w:eastAsia="方正仿宋_GBK" w:cs="方正仿宋_GBK"/>
          <w:color w:val="000000"/>
          <w:sz w:val="24"/>
          <w:szCs w:val="24"/>
          <w:lang w:val="en-US" w:eastAsia="zh-CN"/>
        </w:rPr>
        <w:t>参保地按规定成功办理恶性肿瘤</w:t>
      </w:r>
      <w:r>
        <w:rPr>
          <w:rFonts w:hint="eastAsia" w:ascii="方正仿宋_GBK" w:hAnsi="方正仿宋_GBK" w:eastAsia="方正仿宋_GBK" w:cs="方正仿宋_GBK"/>
          <w:color w:val="000000"/>
          <w:sz w:val="24"/>
          <w:szCs w:val="24"/>
        </w:rPr>
        <w:t>（放疗、化疗、介入治疗、生物靶向药物治疗、内分泌治疗）</w:t>
      </w:r>
      <w:r>
        <w:rPr>
          <w:rFonts w:hint="eastAsia" w:ascii="方正仿宋_GBK" w:hAnsi="方正仿宋_GBK" w:eastAsia="方正仿宋_GBK" w:cs="方正仿宋_GBK"/>
          <w:color w:val="000000"/>
          <w:sz w:val="24"/>
          <w:szCs w:val="24"/>
          <w:lang w:val="en-US" w:eastAsia="zh-CN"/>
        </w:rPr>
        <w:t>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相应门诊特殊病治疗</w:t>
      </w:r>
      <w:r>
        <w:rPr>
          <w:rFonts w:hint="eastAsia" w:ascii="方正仿宋_GBK" w:hAnsi="方正仿宋_GBK" w:eastAsia="方正仿宋_GBK" w:cs="方正仿宋_GBK"/>
          <w:color w:val="000000"/>
          <w:sz w:val="24"/>
          <w:szCs w:val="24"/>
        </w:rPr>
        <w:t>的，应选择一家备案地的异地就医门诊联网结算的二级及以上医疗机构作为直接结算的定点医疗机构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67CBDD14">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参保人员在</w:t>
      </w:r>
      <w:r>
        <w:rPr>
          <w:rFonts w:hint="eastAsia" w:ascii="方正仿宋_GBK" w:hAnsi="方正仿宋_GBK" w:eastAsia="方正仿宋_GBK" w:cs="方正仿宋_GBK"/>
          <w:color w:val="000000"/>
          <w:sz w:val="24"/>
          <w:szCs w:val="24"/>
          <w:lang w:val="en-US" w:eastAsia="zh-CN"/>
        </w:rPr>
        <w:t>参保地按规定成功办理</w:t>
      </w:r>
      <w:r>
        <w:rPr>
          <w:rFonts w:hint="eastAsia" w:ascii="方正仿宋_GBK" w:hAnsi="方正仿宋_GBK" w:eastAsia="方正仿宋_GBK" w:cs="方正仿宋_GBK"/>
          <w:b w:val="0"/>
          <w:bCs w:val="0"/>
          <w:color w:val="000000"/>
          <w:sz w:val="24"/>
          <w:szCs w:val="24"/>
          <w:lang w:val="en-US" w:eastAsia="zh-CN"/>
        </w:rPr>
        <w:t>慢性肾功能衰竭（血液透析、腹膜透析）相应门诊特殊病备案手续后，须在异地就医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相应门诊透析治疗</w:t>
      </w:r>
      <w:r>
        <w:rPr>
          <w:rFonts w:hint="eastAsia" w:ascii="方正仿宋_GBK" w:hAnsi="方正仿宋_GBK" w:eastAsia="方正仿宋_GBK" w:cs="方正仿宋_GBK"/>
          <w:color w:val="000000"/>
          <w:sz w:val="24"/>
          <w:szCs w:val="24"/>
        </w:rPr>
        <w:t>的，应选择一家备案地的异地就医门诊联网结算的具备透析治疗资质的医疗机构作为直接结算的定点医疗机构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4A11F9FD">
      <w:pPr>
        <w:numPr>
          <w:ilvl w:val="0"/>
          <w:numId w:val="1"/>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参保人员在</w:t>
      </w:r>
      <w:r>
        <w:rPr>
          <w:rFonts w:hint="eastAsia" w:ascii="方正仿宋_GBK" w:hAnsi="方正仿宋_GBK" w:eastAsia="方正仿宋_GBK" w:cs="方正仿宋_GBK"/>
          <w:color w:val="000000"/>
          <w:sz w:val="24"/>
          <w:szCs w:val="24"/>
          <w:lang w:val="en-US" w:eastAsia="zh-CN"/>
        </w:rPr>
        <w:t>参保地按规定成功办理器官移植术后抗排异治疗、肺动脉高压</w:t>
      </w:r>
      <w:r>
        <w:rPr>
          <w:rFonts w:hint="eastAsia" w:ascii="方正仿宋_GBK" w:hAnsi="方正仿宋_GBK" w:eastAsia="方正仿宋_GBK" w:cs="方正仿宋_GBK"/>
          <w:b w:val="0"/>
          <w:bCs w:val="0"/>
          <w:color w:val="000000"/>
          <w:sz w:val="24"/>
          <w:szCs w:val="24"/>
          <w:lang w:val="en-US" w:eastAsia="zh-CN"/>
        </w:rPr>
        <w:t>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w:t>
      </w:r>
      <w:r>
        <w:rPr>
          <w:rFonts w:hint="eastAsia" w:ascii="方正仿宋_GBK" w:hAnsi="方正仿宋_GBK" w:eastAsia="方正仿宋_GBK" w:cs="方正仿宋_GBK"/>
          <w:color w:val="000000"/>
          <w:sz w:val="24"/>
          <w:szCs w:val="24"/>
        </w:rPr>
        <w:t>治疗的，应选择一家备案地的异地就医门诊联网结算的三级医疗机构作为直接结算的定点医疗机构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0E4B8F08">
      <w:pPr>
        <w:numPr>
          <w:ilvl w:val="-1"/>
          <w:numId w:val="0"/>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w:t>
      </w:r>
      <w:r>
        <w:rPr>
          <w:rFonts w:hint="eastAsia" w:ascii="方正仿宋_GBK" w:hAnsi="方正仿宋_GBK" w:eastAsia="方正仿宋_GBK" w:cs="方正仿宋_GBK"/>
          <w:color w:val="000000"/>
          <w:sz w:val="24"/>
          <w:szCs w:val="24"/>
          <w:lang w:val="en-US" w:eastAsia="zh-CN"/>
        </w:rPr>
        <w:t>须</w:t>
      </w:r>
      <w:r>
        <w:rPr>
          <w:rFonts w:hint="eastAsia" w:ascii="方正仿宋_GBK" w:hAnsi="方正仿宋_GBK" w:eastAsia="方正仿宋_GBK" w:cs="方正仿宋_GBK"/>
          <w:color w:val="000000"/>
          <w:sz w:val="24"/>
          <w:szCs w:val="24"/>
        </w:rPr>
        <w:t>在就诊前</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通过参保地医保经办窗口或邮寄等途径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办理</w:t>
      </w:r>
      <w:r>
        <w:rPr>
          <w:rFonts w:hint="eastAsia" w:ascii="方正仿宋_GBK" w:hAnsi="方正仿宋_GBK" w:eastAsia="方正仿宋_GBK" w:cs="方正仿宋_GBK"/>
          <w:color w:val="000000"/>
          <w:sz w:val="24"/>
          <w:szCs w:val="24"/>
          <w:lang w:val="en-US" w:eastAsia="zh-CN"/>
        </w:rPr>
        <w:t>相应门诊</w:t>
      </w:r>
      <w:r>
        <w:rPr>
          <w:rFonts w:hint="eastAsia" w:ascii="方正仿宋_GBK" w:hAnsi="方正仿宋_GBK" w:eastAsia="方正仿宋_GBK" w:cs="方正仿宋_GBK"/>
          <w:color w:val="000000"/>
          <w:sz w:val="24"/>
          <w:szCs w:val="24"/>
        </w:rPr>
        <w:t>特殊病异地</w:t>
      </w:r>
      <w:r>
        <w:rPr>
          <w:rFonts w:hint="eastAsia" w:ascii="方正仿宋_GBK" w:hAnsi="方正仿宋_GBK" w:eastAsia="方正仿宋_GBK" w:cs="方正仿宋_GBK"/>
          <w:color w:val="000000"/>
          <w:sz w:val="24"/>
          <w:szCs w:val="24"/>
          <w:lang w:val="en-US" w:eastAsia="zh-CN"/>
        </w:rPr>
        <w:t>就医选</w:t>
      </w:r>
      <w:r>
        <w:rPr>
          <w:rFonts w:hint="eastAsia" w:ascii="方正仿宋_GBK" w:hAnsi="方正仿宋_GBK" w:eastAsia="方正仿宋_GBK" w:cs="方正仿宋_GBK"/>
          <w:color w:val="000000"/>
          <w:sz w:val="24"/>
          <w:szCs w:val="24"/>
        </w:rPr>
        <w:t>定医院备案手续</w:t>
      </w:r>
      <w:r>
        <w:rPr>
          <w:rFonts w:hint="eastAsia" w:ascii="方正仿宋_GBK" w:hAnsi="方正仿宋_GBK" w:eastAsia="方正仿宋_GBK" w:cs="方正仿宋_GBK"/>
          <w:color w:val="000000"/>
          <w:sz w:val="24"/>
          <w:szCs w:val="24"/>
          <w:lang w:val="en-US" w:eastAsia="zh-CN"/>
        </w:rPr>
        <w:t>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方可按规定</w:t>
      </w:r>
      <w:r>
        <w:rPr>
          <w:rFonts w:hint="eastAsia" w:ascii="方正仿宋_GBK" w:hAnsi="方正仿宋_GBK" w:eastAsia="方正仿宋_GBK" w:cs="方正仿宋_GBK"/>
          <w:color w:val="000000"/>
          <w:sz w:val="24"/>
          <w:szCs w:val="24"/>
        </w:rPr>
        <w:t>享受相关</w:t>
      </w:r>
      <w:r>
        <w:rPr>
          <w:rFonts w:hint="eastAsia" w:ascii="方正仿宋_GBK" w:hAnsi="方正仿宋_GBK" w:eastAsia="方正仿宋_GBK" w:cs="方正仿宋_GBK"/>
          <w:color w:val="000000"/>
          <w:sz w:val="24"/>
          <w:szCs w:val="24"/>
          <w:lang w:val="en-US" w:eastAsia="zh-CN"/>
        </w:rPr>
        <w:t>门诊</w:t>
      </w:r>
      <w:r>
        <w:rPr>
          <w:rFonts w:hint="eastAsia" w:ascii="方正仿宋_GBK" w:hAnsi="方正仿宋_GBK" w:eastAsia="方正仿宋_GBK" w:cs="方正仿宋_GBK"/>
          <w:color w:val="000000"/>
          <w:sz w:val="24"/>
          <w:szCs w:val="24"/>
        </w:rPr>
        <w:t>特殊病待遇。备案前及在非选定的医疗机构发生的医疗费用，不享受相关特殊病待遇。</w:t>
      </w:r>
    </w:p>
    <w:p w14:paraId="1AC7AF2E">
      <w:pPr>
        <w:spacing w:line="400" w:lineRule="exact"/>
        <w:ind w:firstLine="482" w:firstLineChars="20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二、其他</w:t>
      </w:r>
    </w:p>
    <w:p w14:paraId="27FF7EF0">
      <w:pPr>
        <w:spacing w:line="400" w:lineRule="exact"/>
        <w:ind w:firstLine="480" w:firstLineChars="200"/>
        <w:jc w:val="left"/>
        <w:rPr>
          <w:rFonts w:hint="eastAsia" w:ascii="仿宋" w:hAnsi="仿宋" w:eastAsia="仿宋"/>
          <w:color w:val="000000" w:themeColor="text1"/>
          <w:sz w:val="24"/>
          <w:szCs w:val="24"/>
          <w:lang w:val="en-US" w:eastAsia="zh-CN"/>
          <w14:textFill>
            <w14:solidFill>
              <w14:schemeClr w14:val="tx1"/>
            </w14:solidFill>
          </w14:textFill>
        </w:rPr>
      </w:pPr>
      <w:bookmarkStart w:id="0" w:name="_GoBack"/>
      <w:r>
        <w:rPr>
          <w:rFonts w:hint="eastAsia" w:ascii="仿宋" w:hAnsi="仿宋" w:eastAsia="仿宋"/>
          <w:color w:val="000000" w:themeColor="text1"/>
          <w:sz w:val="24"/>
          <w:szCs w:val="24"/>
          <w:lang w:val="en-US" w:eastAsia="zh-CN"/>
          <w14:textFill>
            <w14:solidFill>
              <w14:schemeClr w14:val="tx1"/>
            </w14:solidFill>
          </w14:textFill>
        </w:rPr>
        <w:t>1</w:t>
      </w:r>
      <w:bookmarkEnd w:id="0"/>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若您在异地居住期间需跨地市（地区）转诊转院的，可通过</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不见面</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审批的方式，</w:t>
      </w:r>
      <w:r>
        <w:rPr>
          <w:rFonts w:hint="eastAsia" w:ascii="仿宋" w:hAnsi="仿宋" w:eastAsia="仿宋"/>
          <w:color w:val="000000" w:themeColor="text1"/>
          <w:sz w:val="24"/>
          <w:szCs w:val="24"/>
          <w14:textFill>
            <w14:solidFill>
              <w14:schemeClr w14:val="tx1"/>
            </w14:solidFill>
          </w14:textFill>
        </w:rPr>
        <w:t>将相关转诊转院证明、联系方式、社保卡复印件等材料</w:t>
      </w:r>
      <w:r>
        <w:rPr>
          <w:rFonts w:hint="eastAsia" w:ascii="仿宋" w:hAnsi="仿宋" w:eastAsia="仿宋"/>
          <w:color w:val="000000" w:themeColor="text1"/>
          <w:sz w:val="24"/>
          <w:szCs w:val="24"/>
          <w:lang w:val="en-US" w:eastAsia="zh-CN"/>
          <w14:textFill>
            <w14:solidFill>
              <w14:schemeClr w14:val="tx1"/>
            </w14:solidFill>
          </w14:textFill>
        </w:rPr>
        <w:t>提交</w:t>
      </w:r>
      <w:r>
        <w:rPr>
          <w:rFonts w:hint="eastAsia" w:ascii="仿宋" w:hAnsi="仿宋" w:eastAsia="仿宋"/>
          <w:color w:val="000000" w:themeColor="text1"/>
          <w:sz w:val="24"/>
          <w:szCs w:val="24"/>
          <w14:textFill>
            <w14:solidFill>
              <w14:schemeClr w14:val="tx1"/>
            </w14:solidFill>
          </w14:textFill>
        </w:rPr>
        <w:t>进行备案。</w:t>
      </w:r>
      <w:r>
        <w:rPr>
          <w:rFonts w:hint="eastAsia" w:ascii="仿宋" w:hAnsi="仿宋" w:eastAsia="仿宋"/>
          <w:color w:val="000000" w:themeColor="text1"/>
          <w:sz w:val="24"/>
          <w:szCs w:val="24"/>
          <w:lang w:val="en-US" w:eastAsia="zh-CN"/>
          <w14:textFill>
            <w14:solidFill>
              <w14:schemeClr w14:val="tx1"/>
            </w14:solidFill>
          </w14:textFill>
        </w:rPr>
        <w:t>具体方式如下：</w:t>
      </w:r>
    </w:p>
    <w:p w14:paraId="541FE762">
      <w:pPr>
        <w:spacing w:line="400" w:lineRule="exact"/>
        <w:ind w:firstLine="480" w:firstLineChars="200"/>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国家异地就医”微信小程序、“国家医保服务平台”APP、江苏医保云、江苏医保网上服务大厅、江苏政务服务网。</w:t>
      </w:r>
    </w:p>
    <w:p w14:paraId="666E7F41">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您在备案地</w:t>
      </w:r>
      <w:r>
        <w:rPr>
          <w:rFonts w:hint="eastAsia" w:ascii="仿宋" w:hAnsi="仿宋" w:eastAsia="仿宋"/>
          <w:color w:val="000000" w:themeColor="text1"/>
          <w:sz w:val="24"/>
          <w:szCs w:val="24"/>
          <w:lang w:val="en-US" w:eastAsia="zh-CN"/>
          <w14:textFill>
            <w14:solidFill>
              <w14:schemeClr w14:val="tx1"/>
            </w14:solidFill>
          </w14:textFill>
        </w:rPr>
        <w:t>发生的因各种原因未能直接结算的</w:t>
      </w:r>
      <w:r>
        <w:rPr>
          <w:rFonts w:hint="eastAsia" w:ascii="仿宋" w:hAnsi="仿宋" w:eastAsia="仿宋"/>
          <w:color w:val="000000" w:themeColor="text1"/>
          <w:sz w:val="24"/>
          <w:szCs w:val="24"/>
          <w14:textFill>
            <w14:solidFill>
              <w14:schemeClr w14:val="tx1"/>
            </w14:solidFill>
          </w14:textFill>
        </w:rPr>
        <w:t>医疗费用，由个人先行垫付，于</w:t>
      </w:r>
      <w:r>
        <w:rPr>
          <w:rFonts w:hint="eastAsia" w:ascii="方正仿宋_GBK" w:hAnsi="方正仿宋_GBK" w:eastAsia="方正仿宋_GBK" w:cs="方正仿宋_GBK"/>
          <w:color w:val="000000"/>
          <w:sz w:val="24"/>
          <w:szCs w:val="24"/>
        </w:rPr>
        <w:t>次年1月</w:t>
      </w:r>
      <w:r>
        <w:rPr>
          <w:rFonts w:hint="eastAsia" w:ascii="方正仿宋_GBK" w:hAnsi="方正仿宋_GBK" w:eastAsia="方正仿宋_GBK" w:cs="方正仿宋_GBK"/>
          <w:color w:val="000000"/>
          <w:sz w:val="24"/>
          <w:szCs w:val="24"/>
          <w:lang w:val="en-US" w:eastAsia="zh-CN"/>
        </w:rPr>
        <w:t>底</w:t>
      </w:r>
      <w:r>
        <w:rPr>
          <w:rFonts w:hint="eastAsia" w:ascii="方正仿宋_GBK" w:hAnsi="方正仿宋_GBK" w:eastAsia="方正仿宋_GBK" w:cs="方正仿宋_GBK"/>
          <w:color w:val="000000"/>
          <w:sz w:val="24"/>
          <w:szCs w:val="24"/>
        </w:rPr>
        <w:t>前</w:t>
      </w:r>
      <w:r>
        <w:rPr>
          <w:rFonts w:hint="eastAsia" w:ascii="仿宋" w:hAnsi="仿宋" w:eastAsia="仿宋"/>
          <w:color w:val="000000" w:themeColor="text1"/>
          <w:sz w:val="24"/>
          <w:szCs w:val="24"/>
          <w14:textFill>
            <w14:solidFill>
              <w14:schemeClr w14:val="tx1"/>
            </w14:solidFill>
          </w14:textFill>
        </w:rPr>
        <w:t>至参保地医保经办机构按参保地政策规定予以核报。</w:t>
      </w:r>
    </w:p>
    <w:p w14:paraId="771787BF">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门诊费用报销需提供的材料：参保人员江苏省社会保障卡、就诊医院门诊病历或处方、有效票据及明细清单（加盖医院收费章）、代报销人提供代办人身份证；恶性肿瘤（化疗、介入治疗、生物靶向药物治疗、内分泌治疗）</w:t>
      </w:r>
      <w:r>
        <w:rPr>
          <w:rFonts w:hint="eastAsia" w:ascii="仿宋" w:hAnsi="仿宋" w:eastAsia="仿宋" w:cs="仿宋"/>
          <w:color w:val="000000" w:themeColor="text1"/>
          <w:sz w:val="24"/>
          <w:szCs w:val="24"/>
          <w14:textFill>
            <w14:solidFill>
              <w14:schemeClr w14:val="tx1"/>
            </w14:solidFill>
          </w14:textFill>
        </w:rPr>
        <w:t>的费用，另需提供医院盖章的有明确</w:t>
      </w:r>
      <w:r>
        <w:rPr>
          <w:rFonts w:hint="eastAsia" w:ascii="仿宋" w:hAnsi="仿宋" w:eastAsia="仿宋" w:cs="仿宋"/>
          <w:color w:val="000000" w:themeColor="text1"/>
          <w:sz w:val="24"/>
          <w:szCs w:val="24"/>
          <w:lang w:val="en-US" w:eastAsia="zh-CN"/>
          <w14:textFill>
            <w14:solidFill>
              <w14:schemeClr w14:val="tx1"/>
            </w14:solidFill>
          </w14:textFill>
        </w:rPr>
        <w:t>治疗</w:t>
      </w:r>
      <w:r>
        <w:rPr>
          <w:rFonts w:hint="eastAsia" w:ascii="仿宋" w:hAnsi="仿宋" w:eastAsia="仿宋" w:cs="仿宋"/>
          <w:color w:val="000000" w:themeColor="text1"/>
          <w:sz w:val="24"/>
          <w:szCs w:val="24"/>
          <w14:textFill>
            <w14:solidFill>
              <w14:schemeClr w14:val="tx1"/>
            </w14:solidFill>
          </w14:textFill>
        </w:rPr>
        <w:t>记录的门诊病历</w:t>
      </w:r>
      <w:r>
        <w:rPr>
          <w:rFonts w:hint="eastAsia" w:ascii="仿宋" w:hAnsi="仿宋" w:eastAsia="仿宋"/>
          <w:color w:val="000000" w:themeColor="text1"/>
          <w:sz w:val="24"/>
          <w:szCs w:val="24"/>
          <w14:textFill>
            <w14:solidFill>
              <w14:schemeClr w14:val="tx1"/>
            </w14:solidFill>
          </w14:textFill>
        </w:rPr>
        <w:t>；恶性肿瘤门诊放疗的费用，另需提供医院盖章的放射治疗记录单</w:t>
      </w:r>
      <w:r>
        <w:rPr>
          <w:rFonts w:hint="eastAsia" w:ascii="仿宋" w:hAnsi="仿宋" w:eastAsia="仿宋"/>
          <w:color w:val="000000" w:themeColor="text1"/>
          <w:sz w:val="24"/>
          <w:szCs w:val="24"/>
          <w:lang w:val="en-US" w:eastAsia="zh-CN"/>
          <w14:textFill>
            <w14:solidFill>
              <w14:schemeClr w14:val="tx1"/>
            </w14:solidFill>
          </w14:textFill>
        </w:rPr>
        <w:t>或</w:t>
      </w:r>
      <w:r>
        <w:rPr>
          <w:rFonts w:hint="eastAsia" w:ascii="仿宋" w:hAnsi="仿宋" w:eastAsia="仿宋"/>
          <w:color w:val="000000" w:themeColor="text1"/>
          <w:sz w:val="24"/>
          <w:szCs w:val="24"/>
          <w14:textFill>
            <w14:solidFill>
              <w14:schemeClr w14:val="tx1"/>
            </w14:solidFill>
          </w14:textFill>
        </w:rPr>
        <w:t>放疗小结。</w:t>
      </w:r>
    </w:p>
    <w:p w14:paraId="323BA3D4">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住院费用报销需提供的材料：参保人员江苏省社会保障卡、住院有效票据及明细清单（加盖医院收费章）、</w:t>
      </w:r>
      <w:r>
        <w:rPr>
          <w:rFonts w:hint="eastAsia" w:ascii="仿宋" w:hAnsi="仿宋" w:eastAsia="仿宋"/>
          <w:color w:val="000000" w:themeColor="text1"/>
          <w:sz w:val="24"/>
          <w:szCs w:val="24"/>
          <w:lang w:val="en-US" w:eastAsia="zh-CN"/>
          <w14:textFill>
            <w14:solidFill>
              <w14:schemeClr w14:val="tx1"/>
            </w14:solidFill>
          </w14:textFill>
        </w:rPr>
        <w:t>诊断证明或出院小结</w:t>
      </w:r>
      <w:r>
        <w:rPr>
          <w:rFonts w:hint="eastAsia" w:ascii="仿宋" w:hAnsi="仿宋" w:eastAsia="仿宋"/>
          <w:color w:val="000000" w:themeColor="text1"/>
          <w:sz w:val="24"/>
          <w:szCs w:val="24"/>
          <w14:textFill>
            <w14:solidFill>
              <w14:schemeClr w14:val="tx1"/>
            </w14:solidFill>
          </w14:textFill>
        </w:rPr>
        <w:t>、代报销人提供代办人身份证。</w:t>
      </w:r>
    </w:p>
    <w:p w14:paraId="56E4F351">
      <w:pPr>
        <w:spacing w:line="400" w:lineRule="exac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    需要特别提醒您的是：</w:t>
      </w:r>
    </w:p>
    <w:p w14:paraId="096C7094">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1</w:t>
      </w:r>
      <w:r>
        <w:rPr>
          <w:rFonts w:ascii="黑体" w:hAnsi="黑体" w:eastAsia="黑体"/>
          <w:color w:val="000000" w:themeColor="text1"/>
          <w:sz w:val="24"/>
          <w:szCs w:val="24"/>
          <w14:textFill>
            <w14:solidFill>
              <w14:schemeClr w14:val="tx1"/>
            </w14:solidFill>
          </w14:textFill>
        </w:rPr>
        <w:t>.</w:t>
      </w:r>
      <w:r>
        <w:rPr>
          <w:rFonts w:hint="eastAsia" w:ascii="黑体" w:hAnsi="黑体" w:eastAsia="黑体"/>
          <w:color w:val="000000" w:themeColor="text1"/>
          <w:sz w:val="24"/>
          <w:szCs w:val="24"/>
          <w:lang w:val="en-US" w:eastAsia="zh-CN"/>
          <w14:textFill>
            <w14:solidFill>
              <w14:schemeClr w14:val="tx1"/>
            </w14:solidFill>
          </w14:textFill>
        </w:rPr>
        <w:t>您可</w:t>
      </w:r>
      <w:r>
        <w:rPr>
          <w:rFonts w:ascii="黑体" w:hAnsi="黑体" w:eastAsia="黑体"/>
          <w:color w:val="000000" w:themeColor="text1"/>
          <w:sz w:val="24"/>
          <w:szCs w:val="24"/>
          <w14:textFill>
            <w14:solidFill>
              <w14:schemeClr w14:val="tx1"/>
            </w14:solidFill>
          </w14:textFill>
        </w:rPr>
        <w:t>持江苏省社会保障卡</w:t>
      </w:r>
      <w:r>
        <w:rPr>
          <w:rFonts w:hint="eastAsia" w:ascii="黑体" w:hAnsi="黑体" w:eastAsia="黑体"/>
          <w:color w:val="000000" w:themeColor="text1"/>
          <w:sz w:val="24"/>
          <w:szCs w:val="24"/>
          <w:lang w:val="en-US" w:eastAsia="zh-CN"/>
          <w14:textFill>
            <w14:solidFill>
              <w14:schemeClr w14:val="tx1"/>
            </w14:solidFill>
          </w14:textFill>
        </w:rPr>
        <w:t>或医保电子凭证等</w:t>
      </w:r>
      <w:r>
        <w:rPr>
          <w:rFonts w:ascii="黑体" w:hAnsi="黑体" w:eastAsia="黑体"/>
          <w:color w:val="000000" w:themeColor="text1"/>
          <w:sz w:val="24"/>
          <w:szCs w:val="24"/>
          <w14:textFill>
            <w14:solidFill>
              <w14:schemeClr w14:val="tx1"/>
            </w14:solidFill>
          </w14:textFill>
        </w:rPr>
        <w:t>异地就医</w:t>
      </w:r>
      <w:r>
        <w:rPr>
          <w:rFonts w:hint="eastAsia" w:ascii="黑体" w:hAnsi="黑体" w:eastAsia="黑体"/>
          <w:color w:val="000000" w:themeColor="text1"/>
          <w:sz w:val="24"/>
          <w:szCs w:val="24"/>
          <w:lang w:val="en-US" w:eastAsia="zh-CN"/>
          <w14:textFill>
            <w14:solidFill>
              <w14:schemeClr w14:val="tx1"/>
            </w14:solidFill>
          </w14:textFill>
        </w:rPr>
        <w:t>直接结算</w:t>
      </w:r>
      <w:r>
        <w:rPr>
          <w:rFonts w:ascii="黑体" w:hAnsi="黑体" w:eastAsia="黑体"/>
          <w:color w:val="000000" w:themeColor="text1"/>
          <w:sz w:val="24"/>
          <w:szCs w:val="24"/>
          <w14:textFill>
            <w14:solidFill>
              <w14:schemeClr w14:val="tx1"/>
            </w14:solidFill>
          </w14:textFill>
        </w:rPr>
        <w:t>；</w:t>
      </w:r>
    </w:p>
    <w:p w14:paraId="28BFEF8F">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2</w:t>
      </w:r>
      <w:r>
        <w:rPr>
          <w:rFonts w:ascii="黑体" w:hAnsi="黑体" w:eastAsia="黑体"/>
          <w:color w:val="000000" w:themeColor="text1"/>
          <w:sz w:val="24"/>
          <w:szCs w:val="24"/>
          <w14:textFill>
            <w14:solidFill>
              <w14:schemeClr w14:val="tx1"/>
            </w14:solidFill>
          </w14:textFill>
        </w:rPr>
        <w:t>.如您对上述</w:t>
      </w:r>
      <w:r>
        <w:rPr>
          <w:rFonts w:hint="eastAsia" w:ascii="黑体" w:hAnsi="黑体" w:eastAsia="黑体"/>
          <w:color w:val="000000" w:themeColor="text1"/>
          <w:sz w:val="24"/>
          <w:szCs w:val="24"/>
          <w14:textFill>
            <w14:solidFill>
              <w14:schemeClr w14:val="tx1"/>
            </w14:solidFill>
          </w14:textFill>
        </w:rPr>
        <w:t>告知</w:t>
      </w:r>
      <w:r>
        <w:rPr>
          <w:rFonts w:ascii="黑体" w:hAnsi="黑体" w:eastAsia="黑体"/>
          <w:color w:val="000000" w:themeColor="text1"/>
          <w:sz w:val="24"/>
          <w:szCs w:val="24"/>
          <w14:textFill>
            <w14:solidFill>
              <w14:schemeClr w14:val="tx1"/>
            </w14:solidFill>
          </w14:textFill>
        </w:rPr>
        <w:t>存在疑问，可拨打</w:t>
      </w:r>
      <w:r>
        <w:rPr>
          <w:rFonts w:hint="eastAsia" w:ascii="黑体" w:hAnsi="黑体" w:eastAsia="黑体"/>
          <w:color w:val="000000" w:themeColor="text1"/>
          <w:sz w:val="24"/>
          <w:szCs w:val="24"/>
          <w14:textFill>
            <w14:solidFill>
              <w14:schemeClr w14:val="tx1"/>
            </w14:solidFill>
          </w14:textFill>
        </w:rPr>
        <w:t>0513-12345</w:t>
      </w:r>
      <w:r>
        <w:rPr>
          <w:rFonts w:ascii="黑体" w:hAnsi="黑体" w:eastAsia="黑体"/>
          <w:color w:val="000000" w:themeColor="text1"/>
          <w:sz w:val="24"/>
          <w:szCs w:val="24"/>
          <w:highlight w:val="none"/>
          <w14:textFill>
            <w14:solidFill>
              <w14:schemeClr w14:val="tx1"/>
            </w14:solidFill>
          </w14:textFill>
        </w:rPr>
        <w:t>或12393</w:t>
      </w:r>
      <w:r>
        <w:rPr>
          <w:rFonts w:ascii="黑体" w:hAnsi="黑体" w:eastAsia="黑体"/>
          <w:color w:val="000000" w:themeColor="text1"/>
          <w:sz w:val="24"/>
          <w:szCs w:val="24"/>
          <w14:textFill>
            <w14:solidFill>
              <w14:schemeClr w14:val="tx1"/>
            </w14:solidFill>
          </w14:textFill>
        </w:rPr>
        <w:t>咨询；</w:t>
      </w:r>
    </w:p>
    <w:p w14:paraId="0DF4A348">
      <w:pPr>
        <w:spacing w:line="4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3</w:t>
      </w:r>
      <w:r>
        <w:rPr>
          <w:rFonts w:ascii="黑体" w:hAnsi="黑体" w:eastAsia="黑体"/>
          <w:color w:val="000000" w:themeColor="text1"/>
          <w:sz w:val="24"/>
          <w:szCs w:val="24"/>
          <w14:textFill>
            <w14:solidFill>
              <w14:schemeClr w14:val="tx1"/>
            </w14:solidFill>
          </w14:textFill>
        </w:rPr>
        <w:t>.如您在</w:t>
      </w:r>
      <w:r>
        <w:rPr>
          <w:rFonts w:hint="eastAsia" w:ascii="黑体" w:hAnsi="黑体" w:eastAsia="黑体"/>
          <w:color w:val="000000" w:themeColor="text1"/>
          <w:sz w:val="24"/>
          <w:szCs w:val="24"/>
          <w14:textFill>
            <w14:solidFill>
              <w14:schemeClr w14:val="tx1"/>
            </w14:solidFill>
          </w14:textFill>
        </w:rPr>
        <w:t>备案的就医地</w:t>
      </w:r>
      <w:r>
        <w:rPr>
          <w:rFonts w:hint="eastAsia" w:ascii="黑体" w:hAnsi="黑体" w:eastAsia="黑体"/>
          <w:color w:val="000000" w:themeColor="text1"/>
          <w:sz w:val="24"/>
          <w:szCs w:val="24"/>
          <w:lang w:val="en-US" w:eastAsia="zh-CN"/>
          <w14:textFill>
            <w14:solidFill>
              <w14:schemeClr w14:val="tx1"/>
            </w14:solidFill>
          </w14:textFill>
        </w:rPr>
        <w:t>直接</w:t>
      </w:r>
      <w:r>
        <w:rPr>
          <w:rFonts w:ascii="黑体" w:hAnsi="黑体" w:eastAsia="黑体"/>
          <w:color w:val="000000" w:themeColor="text1"/>
          <w:sz w:val="24"/>
          <w:szCs w:val="24"/>
          <w14:textFill>
            <w14:solidFill>
              <w14:schemeClr w14:val="tx1"/>
            </w14:solidFill>
          </w14:textFill>
        </w:rPr>
        <w:t>结算</w:t>
      </w:r>
      <w:r>
        <w:rPr>
          <w:rFonts w:hint="eastAsia" w:ascii="黑体" w:hAnsi="黑体" w:eastAsia="黑体"/>
          <w:color w:val="000000" w:themeColor="text1"/>
          <w:sz w:val="24"/>
          <w:szCs w:val="24"/>
          <w:lang w:val="en-US" w:eastAsia="zh-CN"/>
          <w14:textFill>
            <w14:solidFill>
              <w14:schemeClr w14:val="tx1"/>
            </w14:solidFill>
          </w14:textFill>
        </w:rPr>
        <w:t>出现异常</w:t>
      </w:r>
      <w:r>
        <w:rPr>
          <w:rFonts w:ascii="黑体" w:hAnsi="黑体" w:eastAsia="黑体"/>
          <w:color w:val="000000" w:themeColor="text1"/>
          <w:sz w:val="24"/>
          <w:szCs w:val="24"/>
          <w14:textFill>
            <w14:solidFill>
              <w14:schemeClr w14:val="tx1"/>
            </w14:solidFill>
          </w14:textFill>
        </w:rPr>
        <w:t>，可请</w:t>
      </w:r>
      <w:r>
        <w:rPr>
          <w:rFonts w:hint="eastAsia" w:ascii="黑体" w:hAnsi="黑体" w:eastAsia="黑体"/>
          <w:color w:val="000000" w:themeColor="text1"/>
          <w:sz w:val="24"/>
          <w:szCs w:val="24"/>
          <w14:textFill>
            <w14:solidFill>
              <w14:schemeClr w14:val="tx1"/>
            </w14:solidFill>
          </w14:textFill>
        </w:rPr>
        <w:t>就医</w:t>
      </w:r>
      <w:r>
        <w:rPr>
          <w:rFonts w:ascii="黑体" w:hAnsi="黑体" w:eastAsia="黑体"/>
          <w:color w:val="000000" w:themeColor="text1"/>
          <w:sz w:val="24"/>
          <w:szCs w:val="24"/>
          <w14:textFill>
            <w14:solidFill>
              <w14:schemeClr w14:val="tx1"/>
            </w14:solidFill>
          </w14:textFill>
        </w:rPr>
        <w:t>医院联系就医地医保经办机构协调处理；</w:t>
      </w:r>
    </w:p>
    <w:p w14:paraId="01ACE495">
      <w:pPr>
        <w:spacing w:line="400" w:lineRule="exact"/>
        <w:ind w:firstLine="480" w:firstLineChars="200"/>
        <w:rPr>
          <w:rFonts w:hint="eastAsia" w:ascii="黑体" w:hAnsi="黑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4</w:t>
      </w:r>
      <w:r>
        <w:rPr>
          <w:rFonts w:ascii="黑体" w:hAnsi="黑体" w:eastAsia="黑体"/>
          <w:color w:val="000000" w:themeColor="text1"/>
          <w:sz w:val="24"/>
          <w:szCs w:val="24"/>
          <w14:textFill>
            <w14:solidFill>
              <w14:schemeClr w14:val="tx1"/>
            </w14:solidFill>
          </w14:textFill>
        </w:rPr>
        <w:t>.您可通过</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"http://si.12333.gov.cn"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http://</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fuwu.nhsa.gov.cn</w:t>
      </w:r>
      <w:r>
        <w:rPr>
          <w:rFonts w:ascii="黑体" w:hAnsi="黑体" w:eastAsia="黑体"/>
          <w:color w:val="000000" w:themeColor="text1"/>
          <w:sz w:val="24"/>
          <w:szCs w:val="24"/>
          <w14:textFill>
            <w14:solidFill>
              <w14:schemeClr w14:val="tx1"/>
            </w14:solidFill>
          </w14:textFill>
        </w:rPr>
        <w:t>查询备案地异地就医</w:t>
      </w:r>
      <w:r>
        <w:rPr>
          <w:rFonts w:hint="eastAsia" w:ascii="黑体" w:hAnsi="黑体" w:eastAsia="黑体"/>
          <w:color w:val="000000" w:themeColor="text1"/>
          <w:sz w:val="24"/>
          <w:szCs w:val="24"/>
          <w14:textFill>
            <w14:solidFill>
              <w14:schemeClr w14:val="tx1"/>
            </w14:solidFill>
          </w14:textFill>
        </w:rPr>
        <w:t>联网</w:t>
      </w:r>
      <w:r>
        <w:rPr>
          <w:rFonts w:ascii="黑体" w:hAnsi="黑体" w:eastAsia="黑体"/>
          <w:color w:val="000000" w:themeColor="text1"/>
          <w:sz w:val="24"/>
          <w:szCs w:val="24"/>
          <w14:textFill>
            <w14:solidFill>
              <w14:schemeClr w14:val="tx1"/>
            </w14:solidFill>
          </w14:textFill>
        </w:rPr>
        <w:t>结算定点医疗机构</w:t>
      </w:r>
      <w:r>
        <w:rPr>
          <w:rFonts w:hint="eastAsia" w:ascii="黑体" w:hAnsi="黑体" w:eastAsia="黑体"/>
          <w:color w:val="000000" w:themeColor="text1"/>
          <w:sz w:val="24"/>
          <w:szCs w:val="24"/>
          <w:lang w:eastAsia="zh-CN"/>
          <w14:textFill>
            <w14:solidFill>
              <w14:schemeClr w14:val="tx1"/>
            </w14:solidFill>
          </w14:textFill>
        </w:rPr>
        <w:t>；</w:t>
      </w:r>
    </w:p>
    <w:p w14:paraId="06F3E209">
      <w:pPr>
        <w:spacing w:line="400" w:lineRule="exact"/>
        <w:ind w:firstLine="480" w:firstLineChars="200"/>
        <w:jc w:val="left"/>
        <w:rPr>
          <w:rFonts w:hint="eastAsia" w:ascii="黑体" w:hAnsi="黑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lang w:val="en-US" w:eastAsia="zh-CN"/>
          <w14:textFill>
            <w14:solidFill>
              <w14:schemeClr w14:val="tx1"/>
            </w14:solidFill>
          </w14:textFill>
        </w:rPr>
        <w:t>5</w:t>
      </w:r>
      <w:r>
        <w:rPr>
          <w:rFonts w:hint="eastAsia" w:ascii="黑体" w:hAnsi="黑体" w:eastAsia="黑体"/>
          <w:color w:val="000000" w:themeColor="text1"/>
          <w:sz w:val="24"/>
          <w:szCs w:val="24"/>
          <w14:textFill>
            <w14:solidFill>
              <w14:schemeClr w14:val="tx1"/>
            </w14:solidFill>
          </w14:textFill>
        </w:rPr>
        <w:t>.您可登陆南通市医疗保障局网站</w:t>
      </w:r>
      <w:r>
        <w:rPr>
          <w:rFonts w:hint="eastAsia" w:ascii="黑体" w:hAnsi="黑体" w:eastAsia="黑体"/>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"http://ylbzj.nantong.gov.cn/"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http://ylbzj.nantong.gov.cn/</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t>）</w:t>
      </w:r>
      <w:r>
        <w:rPr>
          <w:rFonts w:hint="eastAsia" w:ascii="黑体" w:hAnsi="黑体" w:eastAsia="黑体"/>
          <w:color w:val="000000" w:themeColor="text1"/>
          <w:sz w:val="24"/>
          <w:szCs w:val="24"/>
          <w14:textFill>
            <w14:solidFill>
              <w14:schemeClr w14:val="tx1"/>
            </w14:solidFill>
          </w14:textFill>
        </w:rPr>
        <w:t>了解更多的医保政策</w:t>
      </w:r>
      <w:r>
        <w:rPr>
          <w:rFonts w:hint="eastAsia" w:ascii="黑体" w:hAnsi="黑体" w:eastAsia="黑体"/>
          <w:color w:val="000000" w:themeColor="text1"/>
          <w:sz w:val="24"/>
          <w:szCs w:val="24"/>
          <w:lang w:eastAsia="zh-CN"/>
          <w14:textFill>
            <w14:solidFill>
              <w14:schemeClr w14:val="tx1"/>
            </w14:solidFill>
          </w14:textFill>
        </w:rPr>
        <w:t>。</w:t>
      </w:r>
    </w:p>
    <w:p w14:paraId="54FFA611">
      <w:pPr>
        <w:spacing w:line="400" w:lineRule="exact"/>
        <w:jc w:val="left"/>
        <w:rPr>
          <w:rFonts w:hint="eastAsia" w:ascii="仿宋" w:hAnsi="仿宋" w:eastAsia="仿宋" w:cs="仿宋"/>
          <w:b/>
          <w:bCs/>
          <w:kern w:val="0"/>
          <w:sz w:val="24"/>
          <w:szCs w:val="24"/>
          <w:lang w:val="en-US" w:eastAsia="zh-CN"/>
        </w:rPr>
      </w:pPr>
    </w:p>
    <w:p w14:paraId="0AE639A3">
      <w:pPr>
        <w:spacing w:line="400" w:lineRule="exact"/>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扫描下载：</w:t>
      </w:r>
    </w:p>
    <w:p w14:paraId="4C9E31ED">
      <w:pPr>
        <w:spacing w:line="240" w:lineRule="auto"/>
        <w:jc w:val="left"/>
        <w:rPr>
          <w:rFonts w:hint="eastAsia" w:ascii="仿宋" w:hAnsi="仿宋" w:eastAsia="仿宋" w:cs="仿宋"/>
          <w:kern w:val="0"/>
          <w:sz w:val="24"/>
          <w:szCs w:val="24"/>
          <w:lang w:val="en-US" w:eastAsia="zh-CN"/>
        </w:rPr>
      </w:pPr>
    </w:p>
    <w:p w14:paraId="09EA71C5">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72390</wp:posOffset>
            </wp:positionV>
            <wp:extent cx="664210" cy="669290"/>
            <wp:effectExtent l="0" t="0" r="2540" b="16510"/>
            <wp:wrapSquare wrapText="bothSides"/>
            <wp:docPr id="2" name="图片 2" descr="微信图片_2023080709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7091532"/>
                    <pic:cNvPicPr>
                      <a:picLocks noChangeAspect="1"/>
                    </pic:cNvPicPr>
                  </pic:nvPicPr>
                  <pic:blipFill>
                    <a:blip r:embed="rId4"/>
                    <a:srcRect/>
                    <a:stretch>
                      <a:fillRect/>
                    </a:stretch>
                  </pic:blipFill>
                  <pic:spPr>
                    <a:xfrm>
                      <a:off x="0" y="0"/>
                      <a:ext cx="664210" cy="669290"/>
                    </a:xfrm>
                    <a:prstGeom prst="rect">
                      <a:avLst/>
                    </a:prstGeom>
                  </pic:spPr>
                </pic:pic>
              </a:graphicData>
            </a:graphic>
          </wp:anchor>
        </w:drawing>
      </w:r>
      <w:r>
        <w:rPr>
          <w:rFonts w:hint="eastAsia" w:ascii="仿宋" w:hAnsi="仿宋" w:eastAsia="仿宋" w:cs="仿宋"/>
          <w:kern w:val="0"/>
          <w:sz w:val="24"/>
          <w:szCs w:val="24"/>
          <w:lang w:val="en-US" w:eastAsia="zh-CN"/>
        </w:rPr>
        <w:t xml:space="preserve">                       </w:t>
      </w:r>
    </w:p>
    <w:p w14:paraId="22579745">
      <w:pPr>
        <w:widowControl/>
        <w:jc w:val="left"/>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 xml:space="preserve">“江苏医保云”手机APP         </w:t>
      </w:r>
    </w:p>
    <w:p w14:paraId="2DAB6033">
      <w:pPr>
        <w:widowControl/>
        <w:jc w:val="right"/>
        <w:rPr>
          <w:rFonts w:hint="eastAsia" w:ascii="仿宋" w:hAnsi="仿宋" w:eastAsia="仿宋"/>
          <w:color w:val="000000" w:themeColor="text1"/>
          <w:sz w:val="24"/>
          <w:szCs w:val="24"/>
          <w14:textFill>
            <w14:solidFill>
              <w14:schemeClr w14:val="tx1"/>
            </w14:solidFill>
          </w14:textFill>
        </w:rPr>
      </w:pPr>
    </w:p>
    <w:p w14:paraId="18CC3AF4">
      <w:pPr>
        <w:widowControl/>
        <w:jc w:val="right"/>
        <w:rPr>
          <w:rFonts w:ascii="黑体" w:hAnsi="黑体" w:eastAsia="黑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南通市医疗保险基金管理中心</w:t>
      </w:r>
    </w:p>
    <w:p w14:paraId="0C141C40">
      <w:pPr>
        <w:widowControl/>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202</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p>
    <w:p w14:paraId="079BCCF1">
      <w:pPr>
        <w:spacing w:line="400" w:lineRule="exact"/>
        <w:ind w:firstLine="560" w:firstLineChars="200"/>
        <w:rPr>
          <w:rFonts w:ascii="仿宋" w:hAnsi="仿宋" w:eastAsia="仿宋"/>
          <w:sz w:val="28"/>
          <w:szCs w:val="28"/>
        </w:rPr>
      </w:pPr>
    </w:p>
    <w:p w14:paraId="24680439">
      <w:pPr>
        <w:spacing w:line="400" w:lineRule="exact"/>
        <w:ind w:firstLine="560" w:firstLineChars="200"/>
        <w:jc w:val="left"/>
        <w:rPr>
          <w:rFonts w:ascii="仿宋" w:hAnsi="仿宋" w:eastAsia="仿宋"/>
          <w:sz w:val="28"/>
          <w:szCs w:val="28"/>
        </w:rPr>
      </w:pPr>
    </w:p>
    <w:sectPr>
      <w:pgSz w:w="11906" w:h="16838"/>
      <w:pgMar w:top="1270"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37B84"/>
    <w:multiLevelType w:val="singleLevel"/>
    <w:tmpl w:val="19237B84"/>
    <w:lvl w:ilvl="0" w:tentative="0">
      <w:start w:val="3"/>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itting〰M">
    <w15:presenceInfo w15:providerId="WPS Office" w15:userId="675986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2RlZWRmZGE4YzliOGRmMDAwNTUyNmJkMjU5OTkifQ=="/>
    <w:docVar w:name="KSO_WPS_MARK_KEY" w:val="24bfabe6-8852-4d90-82b0-6aeb1a148f42"/>
  </w:docVars>
  <w:rsids>
    <w:rsidRoot w:val="00B367A0"/>
    <w:rsid w:val="0001059F"/>
    <w:rsid w:val="00014887"/>
    <w:rsid w:val="00041090"/>
    <w:rsid w:val="0004113C"/>
    <w:rsid w:val="00044AB9"/>
    <w:rsid w:val="00056447"/>
    <w:rsid w:val="000632F2"/>
    <w:rsid w:val="000660D7"/>
    <w:rsid w:val="0006705D"/>
    <w:rsid w:val="00076A02"/>
    <w:rsid w:val="00085400"/>
    <w:rsid w:val="00085982"/>
    <w:rsid w:val="000973DC"/>
    <w:rsid w:val="00097DD3"/>
    <w:rsid w:val="000A056B"/>
    <w:rsid w:val="000B4E89"/>
    <w:rsid w:val="000B5514"/>
    <w:rsid w:val="000B610A"/>
    <w:rsid w:val="000B72F5"/>
    <w:rsid w:val="000B7E5A"/>
    <w:rsid w:val="000C5CC8"/>
    <w:rsid w:val="000D06D2"/>
    <w:rsid w:val="000E44D3"/>
    <w:rsid w:val="001045C0"/>
    <w:rsid w:val="00154CDB"/>
    <w:rsid w:val="00156B2C"/>
    <w:rsid w:val="00194B75"/>
    <w:rsid w:val="001A116D"/>
    <w:rsid w:val="001B4FDE"/>
    <w:rsid w:val="001C0C46"/>
    <w:rsid w:val="001E3DFB"/>
    <w:rsid w:val="001F01F0"/>
    <w:rsid w:val="00203C33"/>
    <w:rsid w:val="00211F45"/>
    <w:rsid w:val="0021424A"/>
    <w:rsid w:val="002313B2"/>
    <w:rsid w:val="00275C6F"/>
    <w:rsid w:val="00293422"/>
    <w:rsid w:val="002B5BF5"/>
    <w:rsid w:val="002C423F"/>
    <w:rsid w:val="002F1410"/>
    <w:rsid w:val="002F6231"/>
    <w:rsid w:val="00305A46"/>
    <w:rsid w:val="00322F74"/>
    <w:rsid w:val="00323394"/>
    <w:rsid w:val="003413A9"/>
    <w:rsid w:val="00353E46"/>
    <w:rsid w:val="00377540"/>
    <w:rsid w:val="00387F84"/>
    <w:rsid w:val="003A3841"/>
    <w:rsid w:val="003A386A"/>
    <w:rsid w:val="003C511F"/>
    <w:rsid w:val="003C72E7"/>
    <w:rsid w:val="003D00D0"/>
    <w:rsid w:val="003D1CCE"/>
    <w:rsid w:val="003E2BF8"/>
    <w:rsid w:val="003F737D"/>
    <w:rsid w:val="00407424"/>
    <w:rsid w:val="00421D5C"/>
    <w:rsid w:val="0045204D"/>
    <w:rsid w:val="004656CB"/>
    <w:rsid w:val="0047004D"/>
    <w:rsid w:val="00480AF1"/>
    <w:rsid w:val="00481A7E"/>
    <w:rsid w:val="004904E6"/>
    <w:rsid w:val="004A6611"/>
    <w:rsid w:val="004B24C5"/>
    <w:rsid w:val="004B2502"/>
    <w:rsid w:val="004D6F5D"/>
    <w:rsid w:val="004F0C47"/>
    <w:rsid w:val="005115BF"/>
    <w:rsid w:val="00527F29"/>
    <w:rsid w:val="00537ED0"/>
    <w:rsid w:val="00546C0B"/>
    <w:rsid w:val="0056310E"/>
    <w:rsid w:val="00571FC5"/>
    <w:rsid w:val="00577979"/>
    <w:rsid w:val="00584BE5"/>
    <w:rsid w:val="00587D2D"/>
    <w:rsid w:val="005906E0"/>
    <w:rsid w:val="00591A8B"/>
    <w:rsid w:val="005A6AA8"/>
    <w:rsid w:val="005B2928"/>
    <w:rsid w:val="005C7FCF"/>
    <w:rsid w:val="005E21C0"/>
    <w:rsid w:val="005F18C3"/>
    <w:rsid w:val="005F4E19"/>
    <w:rsid w:val="006106EA"/>
    <w:rsid w:val="00623359"/>
    <w:rsid w:val="006367C9"/>
    <w:rsid w:val="00660EBE"/>
    <w:rsid w:val="00660F0A"/>
    <w:rsid w:val="0066155D"/>
    <w:rsid w:val="00666987"/>
    <w:rsid w:val="006A2CE2"/>
    <w:rsid w:val="006C7016"/>
    <w:rsid w:val="006E295C"/>
    <w:rsid w:val="0070169A"/>
    <w:rsid w:val="00702616"/>
    <w:rsid w:val="00704033"/>
    <w:rsid w:val="0071256D"/>
    <w:rsid w:val="00716CF4"/>
    <w:rsid w:val="0072159F"/>
    <w:rsid w:val="0074121B"/>
    <w:rsid w:val="007549B0"/>
    <w:rsid w:val="007706C6"/>
    <w:rsid w:val="00774D97"/>
    <w:rsid w:val="0079618F"/>
    <w:rsid w:val="007B4446"/>
    <w:rsid w:val="007C1321"/>
    <w:rsid w:val="007D1D75"/>
    <w:rsid w:val="007F0092"/>
    <w:rsid w:val="007F25C8"/>
    <w:rsid w:val="00807FDE"/>
    <w:rsid w:val="008305F0"/>
    <w:rsid w:val="00831957"/>
    <w:rsid w:val="00834BCE"/>
    <w:rsid w:val="008434F1"/>
    <w:rsid w:val="00855051"/>
    <w:rsid w:val="00855D98"/>
    <w:rsid w:val="008919DA"/>
    <w:rsid w:val="00893AAB"/>
    <w:rsid w:val="008A3DBC"/>
    <w:rsid w:val="008A44B6"/>
    <w:rsid w:val="008A6BD5"/>
    <w:rsid w:val="008B0B7B"/>
    <w:rsid w:val="008C0CEE"/>
    <w:rsid w:val="008D5577"/>
    <w:rsid w:val="00903549"/>
    <w:rsid w:val="00905BF5"/>
    <w:rsid w:val="00906647"/>
    <w:rsid w:val="009167CC"/>
    <w:rsid w:val="00932854"/>
    <w:rsid w:val="00936E11"/>
    <w:rsid w:val="00943366"/>
    <w:rsid w:val="009447E3"/>
    <w:rsid w:val="00947346"/>
    <w:rsid w:val="00956623"/>
    <w:rsid w:val="00993E65"/>
    <w:rsid w:val="009B63F3"/>
    <w:rsid w:val="009D4091"/>
    <w:rsid w:val="009F2F12"/>
    <w:rsid w:val="00A364E1"/>
    <w:rsid w:val="00A36D8A"/>
    <w:rsid w:val="00A41148"/>
    <w:rsid w:val="00A43956"/>
    <w:rsid w:val="00A4727E"/>
    <w:rsid w:val="00A56FB3"/>
    <w:rsid w:val="00A57132"/>
    <w:rsid w:val="00A6297B"/>
    <w:rsid w:val="00A82C94"/>
    <w:rsid w:val="00AA5F3C"/>
    <w:rsid w:val="00AB262E"/>
    <w:rsid w:val="00AC5D60"/>
    <w:rsid w:val="00AE4558"/>
    <w:rsid w:val="00AE6436"/>
    <w:rsid w:val="00B06742"/>
    <w:rsid w:val="00B133D6"/>
    <w:rsid w:val="00B31F47"/>
    <w:rsid w:val="00B367A0"/>
    <w:rsid w:val="00B45867"/>
    <w:rsid w:val="00B50E02"/>
    <w:rsid w:val="00B62832"/>
    <w:rsid w:val="00B65B07"/>
    <w:rsid w:val="00B85A34"/>
    <w:rsid w:val="00BC5555"/>
    <w:rsid w:val="00BE4E25"/>
    <w:rsid w:val="00C0577A"/>
    <w:rsid w:val="00C1572F"/>
    <w:rsid w:val="00C21FCC"/>
    <w:rsid w:val="00C23927"/>
    <w:rsid w:val="00C407F2"/>
    <w:rsid w:val="00C40F58"/>
    <w:rsid w:val="00C643AD"/>
    <w:rsid w:val="00C738AA"/>
    <w:rsid w:val="00C75574"/>
    <w:rsid w:val="00C83F6B"/>
    <w:rsid w:val="00CA4692"/>
    <w:rsid w:val="00CB0E06"/>
    <w:rsid w:val="00CB72D8"/>
    <w:rsid w:val="00CC046A"/>
    <w:rsid w:val="00CC3E97"/>
    <w:rsid w:val="00CE12AF"/>
    <w:rsid w:val="00CF67BE"/>
    <w:rsid w:val="00D32C75"/>
    <w:rsid w:val="00D41497"/>
    <w:rsid w:val="00D46481"/>
    <w:rsid w:val="00D706F9"/>
    <w:rsid w:val="00D77646"/>
    <w:rsid w:val="00D91D71"/>
    <w:rsid w:val="00DA5027"/>
    <w:rsid w:val="00DB4960"/>
    <w:rsid w:val="00DC467F"/>
    <w:rsid w:val="00DE1FBB"/>
    <w:rsid w:val="00DE5537"/>
    <w:rsid w:val="00DE6578"/>
    <w:rsid w:val="00E44DB5"/>
    <w:rsid w:val="00E46453"/>
    <w:rsid w:val="00E60C48"/>
    <w:rsid w:val="00E61976"/>
    <w:rsid w:val="00E66BDE"/>
    <w:rsid w:val="00E670D0"/>
    <w:rsid w:val="00E67F31"/>
    <w:rsid w:val="00E81E93"/>
    <w:rsid w:val="00E91FCD"/>
    <w:rsid w:val="00E953A3"/>
    <w:rsid w:val="00EA5AF7"/>
    <w:rsid w:val="00EC5182"/>
    <w:rsid w:val="00ED5426"/>
    <w:rsid w:val="00EE6A39"/>
    <w:rsid w:val="00EE7DD6"/>
    <w:rsid w:val="00F05A26"/>
    <w:rsid w:val="00F15B3D"/>
    <w:rsid w:val="00F35E2C"/>
    <w:rsid w:val="00F4140A"/>
    <w:rsid w:val="00F81CB8"/>
    <w:rsid w:val="00FA0AD4"/>
    <w:rsid w:val="00FC78EF"/>
    <w:rsid w:val="00FD2D78"/>
    <w:rsid w:val="00FF0D33"/>
    <w:rsid w:val="00FF3E7B"/>
    <w:rsid w:val="04657F2A"/>
    <w:rsid w:val="0759082F"/>
    <w:rsid w:val="10656CA3"/>
    <w:rsid w:val="129D25CE"/>
    <w:rsid w:val="17341201"/>
    <w:rsid w:val="184F34A9"/>
    <w:rsid w:val="19F93689"/>
    <w:rsid w:val="1AFB480A"/>
    <w:rsid w:val="1B9128D2"/>
    <w:rsid w:val="1C141CBE"/>
    <w:rsid w:val="1CB05D8E"/>
    <w:rsid w:val="1D5C0E05"/>
    <w:rsid w:val="1EF97034"/>
    <w:rsid w:val="1FE551D6"/>
    <w:rsid w:val="21177701"/>
    <w:rsid w:val="232B788E"/>
    <w:rsid w:val="28AD4960"/>
    <w:rsid w:val="29E03FF0"/>
    <w:rsid w:val="331F1674"/>
    <w:rsid w:val="34AF4A9E"/>
    <w:rsid w:val="36840B78"/>
    <w:rsid w:val="36EF30F0"/>
    <w:rsid w:val="37555A58"/>
    <w:rsid w:val="3A6839A7"/>
    <w:rsid w:val="3ADA4923"/>
    <w:rsid w:val="3B530708"/>
    <w:rsid w:val="3C227A24"/>
    <w:rsid w:val="3DB17F94"/>
    <w:rsid w:val="41817CC6"/>
    <w:rsid w:val="422A0365"/>
    <w:rsid w:val="422E5823"/>
    <w:rsid w:val="42700FFA"/>
    <w:rsid w:val="44E55294"/>
    <w:rsid w:val="46132E83"/>
    <w:rsid w:val="46805B5D"/>
    <w:rsid w:val="4AE43D5C"/>
    <w:rsid w:val="4D2F05DB"/>
    <w:rsid w:val="5024249B"/>
    <w:rsid w:val="51AA6411"/>
    <w:rsid w:val="537972E9"/>
    <w:rsid w:val="53FD32A8"/>
    <w:rsid w:val="55517871"/>
    <w:rsid w:val="59345076"/>
    <w:rsid w:val="5CED25DB"/>
    <w:rsid w:val="5D080795"/>
    <w:rsid w:val="5D0958D2"/>
    <w:rsid w:val="5DBF226A"/>
    <w:rsid w:val="5DF179D9"/>
    <w:rsid w:val="5E6B5407"/>
    <w:rsid w:val="626A5A9B"/>
    <w:rsid w:val="653B3C30"/>
    <w:rsid w:val="660C3050"/>
    <w:rsid w:val="689773CF"/>
    <w:rsid w:val="714B6E22"/>
    <w:rsid w:val="72B31890"/>
    <w:rsid w:val="7A8B004E"/>
    <w:rsid w:val="7C947592"/>
    <w:rsid w:val="7CC05E7F"/>
    <w:rsid w:val="7D5D253D"/>
    <w:rsid w:val="7E1C4107"/>
    <w:rsid w:val="7F5D1FF4"/>
    <w:rsid w:val="7F9A0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2375</Words>
  <Characters>2480</Characters>
  <Lines>13</Lines>
  <Paragraphs>3</Paragraphs>
  <TotalTime>52</TotalTime>
  <ScaleCrop>false</ScaleCrop>
  <LinksUpToDate>false</LinksUpToDate>
  <CharactersWithSpaces>2588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2018-12-18T07:17:00Z</dcterms:created>
  <dc:creator>lenovo</dc:creator>
  <cp:lastModifiedBy>异地就医服务科</cp:lastModifiedBy>
  <cp:lastPrinted>2025-01-07T09:04:00Z</cp:lastPrinted>
  <dcterms:modified xsi:type="dcterms:W3CDTF">2025-07-04T08:52:54Z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A93289DFE3CE4AD8A3A8DE2EEE7C6EFF_13</vt:lpwstr>
  </property>
  <property fmtid="{D5CDD505-2E9C-101B-9397-08002B2CF9AE}" pid="4" name="KSOTemplateDocerSaveRecord">
    <vt:lpwstr>eyJoZGlkIjoiNmEzN2FlN2MwZmY0NDg3NmRjOGQ5ZDIzMmM4ZTM4MzciLCJ1c2VySWQiOiI0MDgwNzc4NjUifQ==</vt:lpwstr>
  </property>
</Properties>
</file>