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C46B4">
      <w:pPr>
        <w:spacing w:line="360" w:lineRule="auto"/>
        <w:jc w:val="center"/>
        <w:rPr>
          <w:rFonts w:ascii="Times New Roman" w:hAnsi="Times New Roman" w:cs="宋体"/>
          <w:sz w:val="44"/>
          <w:szCs w:val="44"/>
        </w:rPr>
      </w:pPr>
    </w:p>
    <w:p w14:paraId="55FD7AD6">
      <w:pPr>
        <w:spacing w:line="480" w:lineRule="auto"/>
        <w:jc w:val="center"/>
        <w:rPr>
          <w:rFonts w:ascii="Times New Roman" w:hAnsi="Times New Roman" w:cs="宋体"/>
          <w:sz w:val="44"/>
          <w:szCs w:val="44"/>
        </w:rPr>
      </w:pPr>
    </w:p>
    <w:p w14:paraId="23159756">
      <w:pPr>
        <w:pStyle w:val="10"/>
        <w:jc w:val="center"/>
        <w:rPr>
          <w:rFonts w:cs="宋体"/>
          <w:b/>
          <w:sz w:val="52"/>
          <w:szCs w:val="52"/>
        </w:rPr>
      </w:pPr>
      <w:r>
        <w:rPr>
          <w:rFonts w:hint="eastAsia" w:cs="宋体"/>
          <w:b/>
          <w:sz w:val="52"/>
          <w:szCs w:val="52"/>
        </w:rPr>
        <w:t>南通市医疗保障局</w:t>
      </w:r>
    </w:p>
    <w:p w14:paraId="123644BE">
      <w:pPr>
        <w:pStyle w:val="10"/>
        <w:jc w:val="center"/>
        <w:rPr>
          <w:rFonts w:cs="宋体"/>
          <w:b/>
          <w:sz w:val="52"/>
          <w:szCs w:val="52"/>
        </w:rPr>
      </w:pPr>
      <w:r>
        <w:rPr>
          <w:rFonts w:hint="eastAsia" w:cs="宋体"/>
          <w:b/>
          <w:sz w:val="52"/>
          <w:szCs w:val="52"/>
        </w:rPr>
        <w:t>法律顾问服务项目</w:t>
      </w:r>
    </w:p>
    <w:p w14:paraId="0F6DA549">
      <w:pPr>
        <w:pStyle w:val="10"/>
        <w:jc w:val="center"/>
        <w:rPr>
          <w:rFonts w:cs="宋体"/>
          <w:b/>
          <w:sz w:val="52"/>
          <w:szCs w:val="52"/>
        </w:rPr>
      </w:pPr>
    </w:p>
    <w:p w14:paraId="13E499AE">
      <w:pPr>
        <w:spacing w:line="480" w:lineRule="auto"/>
        <w:rPr>
          <w:rFonts w:ascii="Times New Roman" w:hAnsi="Times New Roman"/>
          <w:b/>
          <w:sz w:val="72"/>
          <w:szCs w:val="72"/>
        </w:rPr>
      </w:pPr>
    </w:p>
    <w:p w14:paraId="57E3483B">
      <w:pPr>
        <w:spacing w:line="480" w:lineRule="auto"/>
        <w:jc w:val="center"/>
        <w:rPr>
          <w:rFonts w:ascii="Times New Roman" w:hAnsi="Times New Roman"/>
          <w:b/>
          <w:sz w:val="72"/>
          <w:szCs w:val="72"/>
        </w:rPr>
      </w:pPr>
    </w:p>
    <w:p w14:paraId="5A249B96">
      <w:pPr>
        <w:spacing w:line="480" w:lineRule="auto"/>
        <w:jc w:val="center"/>
        <w:rPr>
          <w:rFonts w:ascii="Times New Roman" w:hAnsi="Times New Roman"/>
          <w:b/>
          <w:sz w:val="72"/>
          <w:szCs w:val="72"/>
        </w:rPr>
      </w:pPr>
      <w:r>
        <w:rPr>
          <w:rFonts w:ascii="Times New Roman" w:hAnsi="Times New Roman"/>
          <w:b/>
          <w:sz w:val="72"/>
          <w:szCs w:val="72"/>
        </w:rPr>
        <w:t>竞争性磋商文件</w:t>
      </w:r>
    </w:p>
    <w:p w14:paraId="3932BE73">
      <w:pPr>
        <w:spacing w:line="480" w:lineRule="auto"/>
        <w:jc w:val="center"/>
        <w:rPr>
          <w:rFonts w:ascii="Times New Roman" w:hAnsi="Times New Roman"/>
          <w:b/>
          <w:sz w:val="44"/>
          <w:szCs w:val="44"/>
        </w:rPr>
      </w:pPr>
      <w:r>
        <w:rPr>
          <w:rFonts w:hint="eastAsia" w:ascii="Times New Roman" w:hAnsi="Times New Roman"/>
          <w:b/>
          <w:sz w:val="44"/>
          <w:szCs w:val="44"/>
        </w:rPr>
        <w:t>（资格后审）</w:t>
      </w:r>
    </w:p>
    <w:p w14:paraId="1B15BECF">
      <w:pPr>
        <w:snapToGrid w:val="0"/>
        <w:spacing w:line="360" w:lineRule="auto"/>
        <w:ind w:firstLine="723" w:firstLineChars="200"/>
        <w:jc w:val="center"/>
        <w:rPr>
          <w:rFonts w:ascii="Times New Roman" w:hAnsi="Times New Roman"/>
          <w:b/>
          <w:sz w:val="36"/>
        </w:rPr>
      </w:pPr>
    </w:p>
    <w:p w14:paraId="252DF390">
      <w:pPr>
        <w:snapToGrid w:val="0"/>
        <w:spacing w:line="360" w:lineRule="auto"/>
        <w:ind w:firstLine="723" w:firstLineChars="200"/>
        <w:jc w:val="center"/>
        <w:rPr>
          <w:rFonts w:ascii="Times New Roman" w:hAnsi="Times New Roman"/>
          <w:b/>
          <w:sz w:val="36"/>
        </w:rPr>
      </w:pPr>
    </w:p>
    <w:p w14:paraId="5A035E95">
      <w:pPr>
        <w:adjustRightInd w:val="0"/>
        <w:snapToGrid w:val="0"/>
        <w:spacing w:line="360" w:lineRule="auto"/>
        <w:rPr>
          <w:rFonts w:ascii="Times New Roman" w:hAnsi="Times New Roman"/>
          <w:b/>
          <w:sz w:val="36"/>
        </w:rPr>
      </w:pPr>
    </w:p>
    <w:p w14:paraId="7800C6AB">
      <w:pPr>
        <w:adjustRightInd w:val="0"/>
        <w:snapToGrid w:val="0"/>
        <w:spacing w:line="360" w:lineRule="auto"/>
        <w:rPr>
          <w:rFonts w:ascii="Times New Roman" w:hAnsi="Times New Roman"/>
          <w:b/>
          <w:sz w:val="36"/>
        </w:rPr>
      </w:pPr>
    </w:p>
    <w:p w14:paraId="04609934">
      <w:pPr>
        <w:pStyle w:val="10"/>
      </w:pPr>
    </w:p>
    <w:p w14:paraId="4FBE9BE6">
      <w:pPr>
        <w:adjustRightInd w:val="0"/>
        <w:snapToGrid w:val="0"/>
        <w:spacing w:line="360" w:lineRule="auto"/>
        <w:ind w:firstLine="602" w:firstLineChars="200"/>
        <w:rPr>
          <w:rFonts w:ascii="Times New Roman" w:hAnsi="Times New Roman" w:cs="宋体"/>
          <w:b/>
          <w:sz w:val="30"/>
          <w:szCs w:val="30"/>
        </w:rPr>
      </w:pPr>
    </w:p>
    <w:p w14:paraId="2F06E9E3">
      <w:pPr>
        <w:adjustRightInd w:val="0"/>
        <w:snapToGrid w:val="0"/>
        <w:spacing w:line="360" w:lineRule="auto"/>
        <w:jc w:val="center"/>
        <w:rPr>
          <w:rFonts w:ascii="Times New Roman" w:hAnsi="Times New Roman" w:cs="宋体"/>
          <w:b/>
          <w:sz w:val="30"/>
          <w:szCs w:val="30"/>
        </w:rPr>
      </w:pPr>
      <w:r>
        <w:rPr>
          <w:rFonts w:hint="eastAsia" w:ascii="Times New Roman" w:hAnsi="Times New Roman" w:cs="宋体"/>
          <w:b/>
          <w:sz w:val="30"/>
          <w:szCs w:val="30"/>
        </w:rPr>
        <w:t>采购单位：南通市医疗保障局</w:t>
      </w:r>
    </w:p>
    <w:p w14:paraId="4EC8FAB2">
      <w:pPr>
        <w:adjustRightInd w:val="0"/>
        <w:snapToGrid w:val="0"/>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代理机构：宏信天德工程顾问有限公司</w:t>
      </w:r>
    </w:p>
    <w:p w14:paraId="67688BA1">
      <w:pPr>
        <w:adjustRightInd w:val="0"/>
        <w:snapToGrid w:val="0"/>
        <w:spacing w:line="360" w:lineRule="auto"/>
        <w:jc w:val="center"/>
        <w:rPr>
          <w:rFonts w:ascii="Times New Roman" w:hAnsi="Times New Roman" w:cs="宋体"/>
          <w:b/>
          <w:sz w:val="30"/>
          <w:szCs w:val="30"/>
        </w:rPr>
      </w:pPr>
      <w:r>
        <w:rPr>
          <w:rFonts w:hint="eastAsia" w:ascii="Times New Roman" w:hAnsi="Times New Roman" w:cs="宋体"/>
          <w:b/>
          <w:sz w:val="30"/>
          <w:szCs w:val="30"/>
        </w:rPr>
        <w:t>二〇二五年十一月</w:t>
      </w:r>
    </w:p>
    <w:p w14:paraId="03FC8355">
      <w:pPr>
        <w:pStyle w:val="8"/>
        <w:overflowPunct w:val="0"/>
        <w:spacing w:line="360" w:lineRule="auto"/>
        <w:ind w:firstLine="883" w:firstLineChars="200"/>
        <w:jc w:val="center"/>
        <w:rPr>
          <w:rFonts w:ascii="Times New Roman" w:hAnsi="Times New Roman"/>
          <w:b/>
          <w:sz w:val="44"/>
          <w:szCs w:val="44"/>
        </w:rPr>
      </w:pPr>
      <w:r>
        <w:rPr>
          <w:rFonts w:ascii="Times New Roman" w:hAnsi="Times New Roman" w:cs="宋体"/>
          <w:b/>
          <w:sz w:val="44"/>
          <w:szCs w:val="44"/>
        </w:rPr>
        <w:br w:type="page"/>
      </w:r>
    </w:p>
    <w:p w14:paraId="2007EC23">
      <w:pPr>
        <w:pStyle w:val="8"/>
        <w:overflowPunct w:val="0"/>
        <w:spacing w:line="360" w:lineRule="auto"/>
        <w:ind w:firstLine="883" w:firstLineChars="200"/>
        <w:jc w:val="center"/>
        <w:rPr>
          <w:rFonts w:ascii="Times New Roman" w:hAnsi="Times New Roman"/>
          <w:b/>
          <w:sz w:val="44"/>
          <w:szCs w:val="44"/>
        </w:rPr>
      </w:pPr>
      <w:r>
        <w:rPr>
          <w:rFonts w:hint="eastAsia" w:ascii="Times New Roman" w:hAnsi="Times New Roman"/>
          <w:b/>
          <w:sz w:val="44"/>
          <w:szCs w:val="44"/>
        </w:rPr>
        <w:t>目录</w:t>
      </w:r>
    </w:p>
    <w:p w14:paraId="7FD48B79">
      <w:pPr>
        <w:pStyle w:val="8"/>
        <w:overflowPunct w:val="0"/>
        <w:spacing w:line="360" w:lineRule="auto"/>
        <w:ind w:firstLine="600" w:firstLineChars="200"/>
        <w:jc w:val="center"/>
        <w:rPr>
          <w:rFonts w:ascii="Times New Roman" w:hAnsi="Times New Roman"/>
          <w:sz w:val="30"/>
        </w:rPr>
      </w:pPr>
    </w:p>
    <w:p w14:paraId="26547863">
      <w:pPr>
        <w:pStyle w:val="19"/>
        <w:tabs>
          <w:tab w:val="right" w:leader="dot" w:pos="9528"/>
        </w:tabs>
        <w:spacing w:line="360" w:lineRule="auto"/>
        <w:ind w:firstLine="723" w:firstLineChars="200"/>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7EAF1C76">
      <w:pPr>
        <w:pStyle w:val="19"/>
        <w:tabs>
          <w:tab w:val="right" w:leader="dot" w:pos="9528"/>
        </w:tabs>
        <w:spacing w:line="360" w:lineRule="auto"/>
        <w:ind w:firstLine="640" w:firstLineChars="200"/>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w:t>
      </w:r>
      <w:r>
        <w:rPr>
          <w:rFonts w:ascii="Times New Roman" w:hAnsi="Times New Roman" w:eastAsia="宋体"/>
          <w:sz w:val="32"/>
          <w:szCs w:val="32"/>
        </w:rPr>
        <w:t>投标</w:t>
      </w:r>
      <w:r>
        <w:rPr>
          <w:rFonts w:hint="eastAsia" w:ascii="Times New Roman" w:hAnsi="Times New Roman" w:eastAsia="宋体"/>
          <w:sz w:val="32"/>
          <w:szCs w:val="32"/>
        </w:rPr>
        <w:t>供应商</w:t>
      </w:r>
      <w:r>
        <w:rPr>
          <w:rFonts w:ascii="Times New Roman" w:hAnsi="Times New Roman" w:eastAsia="宋体"/>
          <w:sz w:val="32"/>
          <w:szCs w:val="32"/>
        </w:rPr>
        <w:t>须知</w:t>
      </w:r>
    </w:p>
    <w:p w14:paraId="72A67733">
      <w:pPr>
        <w:pStyle w:val="19"/>
        <w:tabs>
          <w:tab w:val="right" w:leader="dot" w:pos="9528"/>
        </w:tabs>
        <w:spacing w:line="360" w:lineRule="auto"/>
        <w:ind w:firstLine="640" w:firstLineChars="200"/>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790F7565">
      <w:pPr>
        <w:pStyle w:val="19"/>
        <w:tabs>
          <w:tab w:val="right" w:leader="dot" w:pos="9528"/>
        </w:tabs>
        <w:spacing w:line="360" w:lineRule="auto"/>
        <w:ind w:firstLine="640" w:firstLineChars="200"/>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4674147F">
      <w:pPr>
        <w:pStyle w:val="19"/>
        <w:tabs>
          <w:tab w:val="right" w:leader="dot" w:pos="9528"/>
        </w:tabs>
        <w:spacing w:line="360" w:lineRule="auto"/>
        <w:ind w:firstLine="640" w:firstLineChars="200"/>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1E1CCFE1">
      <w:pPr>
        <w:pStyle w:val="19"/>
        <w:tabs>
          <w:tab w:val="right" w:leader="dot" w:pos="9528"/>
        </w:tabs>
        <w:spacing w:line="360" w:lineRule="auto"/>
        <w:ind w:firstLine="640" w:firstLineChars="200"/>
        <w:rPr>
          <w:rFonts w:ascii="Times New Roman" w:hAnsi="Times New Roman" w:eastAsia="宋体"/>
          <w:sz w:val="32"/>
          <w:szCs w:val="32"/>
        </w:rPr>
      </w:pPr>
      <w:r>
        <w:rPr>
          <w:rFonts w:hint="eastAsia" w:ascii="Times New Roman" w:hAnsi="Times New Roman" w:eastAsia="宋体"/>
          <w:sz w:val="32"/>
          <w:szCs w:val="32"/>
        </w:rPr>
        <w:t>第六章   合同授予</w:t>
      </w:r>
    </w:p>
    <w:p w14:paraId="3F800957">
      <w:pPr>
        <w:spacing w:line="360" w:lineRule="auto"/>
        <w:ind w:firstLine="640" w:firstLineChars="200"/>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00B8787B">
      <w:pPr>
        <w:spacing w:line="360" w:lineRule="auto"/>
        <w:ind w:firstLine="640" w:firstLineChars="200"/>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1DB47C62">
      <w:pPr>
        <w:spacing w:line="360" w:lineRule="auto"/>
        <w:ind w:firstLine="723" w:firstLineChars="200"/>
        <w:rPr>
          <w:rFonts w:ascii="Times New Roman" w:hAnsi="Times New Roman"/>
          <w:b/>
          <w:bCs/>
          <w:sz w:val="36"/>
          <w:szCs w:val="36"/>
        </w:rPr>
      </w:pPr>
      <w:r>
        <w:rPr>
          <w:rFonts w:ascii="Times New Roman" w:hAnsi="Times New Roman"/>
          <w:b/>
          <w:bCs/>
          <w:sz w:val="36"/>
          <w:szCs w:val="36"/>
        </w:rPr>
        <w:fldChar w:fldCharType="end"/>
      </w:r>
    </w:p>
    <w:p w14:paraId="6B5AAF5C">
      <w:pPr>
        <w:spacing w:line="360" w:lineRule="auto"/>
        <w:ind w:firstLine="723" w:firstLineChars="200"/>
        <w:rPr>
          <w:rFonts w:ascii="Times New Roman" w:hAnsi="Times New Roman"/>
          <w:b/>
          <w:bCs/>
          <w:sz w:val="36"/>
          <w:szCs w:val="36"/>
        </w:rPr>
      </w:pPr>
    </w:p>
    <w:p w14:paraId="406E8260">
      <w:pPr>
        <w:spacing w:line="360" w:lineRule="auto"/>
        <w:ind w:firstLine="723" w:firstLineChars="200"/>
        <w:rPr>
          <w:rFonts w:ascii="Times New Roman" w:hAnsi="Times New Roman"/>
          <w:b/>
          <w:bCs/>
          <w:sz w:val="36"/>
          <w:szCs w:val="36"/>
        </w:rPr>
      </w:pPr>
    </w:p>
    <w:p w14:paraId="3D314F2E">
      <w:pPr>
        <w:spacing w:line="360" w:lineRule="auto"/>
        <w:ind w:firstLine="723" w:firstLineChars="200"/>
        <w:rPr>
          <w:rFonts w:ascii="Times New Roman" w:hAnsi="Times New Roman"/>
          <w:b/>
          <w:bCs/>
          <w:sz w:val="36"/>
          <w:szCs w:val="36"/>
        </w:rPr>
      </w:pPr>
    </w:p>
    <w:p w14:paraId="5F885B84">
      <w:pPr>
        <w:snapToGrid w:val="0"/>
        <w:spacing w:line="360" w:lineRule="auto"/>
        <w:rPr>
          <w:rFonts w:ascii="Times New Roman" w:hAnsi="Times New Roman"/>
          <w:w w:val="80"/>
          <w:szCs w:val="44"/>
        </w:rPr>
      </w:pPr>
      <w:r>
        <w:rPr>
          <w:rFonts w:ascii="Times New Roman" w:hAnsi="Times New Roman"/>
          <w:w w:val="80"/>
          <w:szCs w:val="44"/>
        </w:rPr>
        <w:br w:type="page"/>
      </w:r>
    </w:p>
    <w:p w14:paraId="459D3419">
      <w:pPr>
        <w:pStyle w:val="3"/>
        <w:keepNext w:val="0"/>
        <w:keepLines w:val="0"/>
        <w:adjustRightInd w:val="0"/>
        <w:snapToGrid w:val="0"/>
        <w:spacing w:before="0" w:after="0" w:line="360" w:lineRule="auto"/>
        <w:jc w:val="center"/>
        <w:textAlignment w:val="baseline"/>
        <w:rPr>
          <w:rFonts w:ascii="Times New Roman" w:hAnsi="Times New Roman" w:eastAsia="宋体"/>
          <w:w w:val="80"/>
          <w:szCs w:val="44"/>
        </w:rPr>
      </w:pPr>
      <w:r>
        <w:rPr>
          <w:rFonts w:hint="eastAsia" w:ascii="Times New Roman" w:hAnsi="Times New Roman" w:eastAsia="宋体"/>
          <w:w w:val="80"/>
          <w:szCs w:val="44"/>
        </w:rPr>
        <w:t xml:space="preserve">第一章 竞争性磋商公告  </w:t>
      </w:r>
    </w:p>
    <w:p w14:paraId="364269C4">
      <w:pPr>
        <w:pBdr>
          <w:top w:val="single" w:color="auto" w:sz="4" w:space="1"/>
          <w:left w:val="single" w:color="auto" w:sz="4" w:space="0"/>
          <w:bottom w:val="single" w:color="auto" w:sz="4" w:space="1"/>
          <w:right w:val="single" w:color="auto" w:sz="4" w:space="4"/>
        </w:pBdr>
        <w:spacing w:line="480" w:lineRule="exact"/>
        <w:ind w:firstLine="480" w:firstLineChars="200"/>
        <w:rPr>
          <w:rFonts w:ascii="Times New Roman" w:hAnsi="Times New Roman" w:cs="宋体"/>
          <w:sz w:val="24"/>
        </w:rPr>
      </w:pPr>
      <w:r>
        <w:rPr>
          <w:rFonts w:hint="eastAsia" w:ascii="Times New Roman" w:hAnsi="宋体" w:cs="宋体"/>
          <w:sz w:val="24"/>
        </w:rPr>
        <w:t>项目概况</w:t>
      </w:r>
    </w:p>
    <w:p w14:paraId="73D5E7B1">
      <w:pPr>
        <w:pBdr>
          <w:top w:val="single" w:color="auto" w:sz="4" w:space="1"/>
          <w:left w:val="single" w:color="auto" w:sz="4" w:space="0"/>
          <w:bottom w:val="single" w:color="auto" w:sz="4" w:space="1"/>
          <w:right w:val="single" w:color="auto" w:sz="4" w:space="4"/>
        </w:pBdr>
        <w:spacing w:line="480" w:lineRule="exact"/>
        <w:ind w:firstLine="480" w:firstLineChars="200"/>
        <w:rPr>
          <w:rFonts w:ascii="Times New Roman" w:hAnsi="Times New Roman" w:cs="宋体"/>
          <w:sz w:val="24"/>
        </w:rPr>
      </w:pPr>
      <w:r>
        <w:rPr>
          <w:rFonts w:hint="eastAsia" w:ascii="Times New Roman" w:hAnsi="宋体" w:cs="宋体"/>
          <w:sz w:val="24"/>
          <w:u w:val="single"/>
        </w:rPr>
        <w:t>南通市医疗保障局法律顾问服务项目</w:t>
      </w:r>
      <w:r>
        <w:rPr>
          <w:rFonts w:hint="eastAsia" w:ascii="Times New Roman" w:hAnsi="宋体" w:cs="宋体"/>
          <w:sz w:val="24"/>
        </w:rPr>
        <w:t>的潜在供应商应在</w:t>
      </w:r>
      <w:r>
        <w:rPr>
          <w:rFonts w:hint="eastAsia" w:ascii="Times New Roman" w:hAnsi="宋体" w:cs="宋体"/>
          <w:sz w:val="24"/>
          <w:u w:val="single"/>
        </w:rPr>
        <w:t>南通市医疗保障局官网</w:t>
      </w:r>
      <w:r>
        <w:rPr>
          <w:rFonts w:hint="eastAsia" w:ascii="Times New Roman" w:hAnsi="宋体" w:cs="宋体"/>
          <w:sz w:val="24"/>
        </w:rPr>
        <w:t>获取采购文件，并</w:t>
      </w:r>
      <w:r>
        <w:rPr>
          <w:rFonts w:hint="eastAsia" w:ascii="Times New Roman" w:hAnsi="Times New Roman"/>
          <w:sz w:val="24"/>
        </w:rPr>
        <w:t>于</w:t>
      </w:r>
      <w:r>
        <w:rPr>
          <w:rFonts w:hint="eastAsia" w:ascii="Times New Roman" w:hAnsi="Times New Roman"/>
          <w:sz w:val="24"/>
          <w:u w:val="single"/>
        </w:rPr>
        <w:t>2025年11月</w:t>
      </w:r>
      <w:r>
        <w:rPr>
          <w:rFonts w:hint="eastAsia" w:ascii="Times New Roman" w:hAnsi="Times New Roman"/>
          <w:sz w:val="24"/>
          <w:u w:val="single"/>
          <w:lang w:val="en-US" w:eastAsia="zh-CN"/>
        </w:rPr>
        <w:t>21</w:t>
      </w:r>
      <w:r>
        <w:rPr>
          <w:rFonts w:hint="eastAsia" w:ascii="Times New Roman" w:hAnsi="Times New Roman"/>
          <w:sz w:val="24"/>
          <w:u w:val="single"/>
        </w:rPr>
        <w:t>日09时30分</w:t>
      </w:r>
      <w:r>
        <w:rPr>
          <w:rFonts w:hint="eastAsia" w:ascii="Times New Roman" w:hAnsi="Times New Roman"/>
          <w:sz w:val="24"/>
        </w:rPr>
        <w:t>（北</w:t>
      </w:r>
      <w:r>
        <w:rPr>
          <w:rFonts w:hint="eastAsia" w:ascii="Times New Roman" w:hAnsi="宋体" w:cs="宋体"/>
          <w:bCs/>
          <w:sz w:val="24"/>
        </w:rPr>
        <w:t>京时间）前提交响应文件</w:t>
      </w:r>
      <w:r>
        <w:rPr>
          <w:rFonts w:hint="eastAsia" w:ascii="Times New Roman" w:hAnsi="宋体" w:cs="宋体"/>
          <w:sz w:val="24"/>
        </w:rPr>
        <w:t>。</w:t>
      </w:r>
    </w:p>
    <w:p w14:paraId="658F875F">
      <w:pPr>
        <w:keepNext/>
        <w:keepLines/>
        <w:adjustRightInd w:val="0"/>
        <w:spacing w:line="480" w:lineRule="exact"/>
        <w:ind w:firstLine="482" w:firstLineChars="200"/>
        <w:textAlignment w:val="baseline"/>
        <w:outlineLvl w:val="1"/>
        <w:rPr>
          <w:rFonts w:ascii="Times New Roman" w:hAnsi="Times New Roman" w:cs="宋体"/>
          <w:b/>
          <w:kern w:val="0"/>
          <w:sz w:val="24"/>
        </w:rPr>
      </w:pPr>
      <w:r>
        <w:rPr>
          <w:rFonts w:hint="eastAsia" w:ascii="Times New Roman" w:hAnsi="宋体" w:cs="宋体"/>
          <w:b/>
          <w:kern w:val="0"/>
          <w:sz w:val="24"/>
        </w:rPr>
        <w:t>一、项目基本情况</w:t>
      </w:r>
    </w:p>
    <w:p w14:paraId="1DD547F1">
      <w:pPr>
        <w:spacing w:line="480" w:lineRule="exact"/>
        <w:ind w:firstLine="480" w:firstLineChars="200"/>
        <w:rPr>
          <w:rFonts w:ascii="Times New Roman" w:hAnsi="宋体" w:cs="宋体"/>
          <w:sz w:val="24"/>
        </w:rPr>
      </w:pPr>
      <w:r>
        <w:rPr>
          <w:rFonts w:hint="eastAsia" w:ascii="Times New Roman" w:hAnsi="宋体" w:cs="宋体"/>
          <w:sz w:val="24"/>
        </w:rPr>
        <w:t>项目名称：南通市医疗保障局法律顾问服务项目</w:t>
      </w:r>
    </w:p>
    <w:p w14:paraId="50D73779">
      <w:pPr>
        <w:spacing w:line="480" w:lineRule="exact"/>
        <w:ind w:firstLine="480" w:firstLineChars="200"/>
        <w:rPr>
          <w:rFonts w:ascii="Times New Roman" w:hAnsi="Times New Roman" w:cs="宋体"/>
          <w:sz w:val="24"/>
        </w:rPr>
      </w:pPr>
      <w:r>
        <w:rPr>
          <w:rFonts w:hint="eastAsia" w:ascii="Times New Roman" w:hAnsi="宋体" w:cs="宋体"/>
          <w:sz w:val="24"/>
        </w:rPr>
        <w:t>采购方式：</w:t>
      </w:r>
      <w:r>
        <w:rPr>
          <w:rFonts w:hint="eastAsia" w:ascii="Times New Roman" w:hAnsi="Times New Roman" w:cs="宋体"/>
          <w:sz w:val="24"/>
        </w:rPr>
        <w:t>□</w:t>
      </w:r>
      <w:r>
        <w:rPr>
          <w:rFonts w:hint="eastAsia" w:ascii="Times New Roman" w:hAnsi="宋体" w:cs="宋体"/>
          <w:sz w:val="24"/>
        </w:rPr>
        <w:t>竞争性谈判</w:t>
      </w:r>
      <w:r>
        <w:rPr>
          <w:rFonts w:hint="eastAsia" w:ascii="Times New Roman" w:hAnsi="MS Mincho" w:eastAsia="MS Mincho" w:cs="MS Mincho"/>
          <w:sz w:val="24"/>
        </w:rPr>
        <w:t>☑</w:t>
      </w:r>
      <w:r>
        <w:rPr>
          <w:rFonts w:hint="eastAsia" w:ascii="Times New Roman" w:hAnsi="宋体" w:cs="宋体"/>
          <w:sz w:val="24"/>
        </w:rPr>
        <w:t>竞争性磋商</w:t>
      </w:r>
      <w:r>
        <w:rPr>
          <w:rFonts w:hint="eastAsia" w:ascii="Times New Roman" w:hAnsi="Times New Roman" w:cs="宋体"/>
          <w:sz w:val="24"/>
        </w:rPr>
        <w:t>□</w:t>
      </w:r>
      <w:r>
        <w:rPr>
          <w:rFonts w:hint="eastAsia" w:ascii="Times New Roman" w:hAnsi="宋体" w:cs="宋体"/>
          <w:sz w:val="24"/>
        </w:rPr>
        <w:t>询价</w:t>
      </w:r>
    </w:p>
    <w:p w14:paraId="33B7D899">
      <w:pPr>
        <w:spacing w:line="480" w:lineRule="exact"/>
        <w:ind w:firstLine="480" w:firstLineChars="200"/>
        <w:rPr>
          <w:rFonts w:ascii="Times New Roman" w:hAnsi="Times New Roman"/>
          <w:sz w:val="24"/>
        </w:rPr>
      </w:pPr>
      <w:r>
        <w:rPr>
          <w:rFonts w:hint="eastAsia" w:ascii="Times New Roman" w:hAnsi="Times New Roman"/>
          <w:sz w:val="24"/>
        </w:rPr>
        <w:t>预算金额：3万元/年。</w:t>
      </w:r>
    </w:p>
    <w:p w14:paraId="42278E9A">
      <w:pPr>
        <w:spacing w:line="480" w:lineRule="exact"/>
        <w:ind w:firstLine="480" w:firstLineChars="200"/>
        <w:rPr>
          <w:rFonts w:ascii="Times New Roman" w:hAnsi="宋体" w:cs="宋体"/>
          <w:sz w:val="24"/>
        </w:rPr>
      </w:pPr>
      <w:r>
        <w:rPr>
          <w:rFonts w:hint="eastAsia" w:ascii="Times New Roman" w:hAnsi="Times New Roman"/>
          <w:sz w:val="24"/>
        </w:rPr>
        <w:t>最高限价：</w:t>
      </w:r>
      <w:r>
        <w:rPr>
          <w:rFonts w:hint="eastAsia" w:ascii="Times New Roman" w:hAnsi="宋体" w:cs="宋体"/>
          <w:sz w:val="24"/>
        </w:rPr>
        <w:t>法律顾问服务费最高限价为3万元/年，单独计费项详见“第三章 项目需求”。</w:t>
      </w:r>
    </w:p>
    <w:p w14:paraId="7E458364">
      <w:pPr>
        <w:spacing w:line="480" w:lineRule="exact"/>
        <w:ind w:firstLine="480" w:firstLineChars="200"/>
        <w:rPr>
          <w:rFonts w:ascii="Times New Roman" w:hAnsi="Times New Roman"/>
          <w:sz w:val="24"/>
        </w:rPr>
      </w:pPr>
      <w:r>
        <w:rPr>
          <w:rFonts w:hint="eastAsia" w:ascii="Times New Roman" w:hAnsi="Times New Roman"/>
          <w:sz w:val="24"/>
        </w:rPr>
        <w:t>采购需求：具体内容详见文件第三章项目需求。</w:t>
      </w:r>
    </w:p>
    <w:p w14:paraId="69D0E2CB">
      <w:pPr>
        <w:spacing w:line="480" w:lineRule="exact"/>
        <w:ind w:firstLine="480" w:firstLineChars="200"/>
        <w:rPr>
          <w:rFonts w:ascii="Times New Roman" w:hAnsi="Times New Roman"/>
          <w:sz w:val="24"/>
        </w:rPr>
      </w:pPr>
      <w:r>
        <w:rPr>
          <w:rFonts w:hint="eastAsia" w:ascii="Times New Roman" w:hAnsi="Times New Roman"/>
          <w:sz w:val="24"/>
        </w:rPr>
        <w:t>服务期限：2年，自签订合同之日起开始。</w:t>
      </w:r>
    </w:p>
    <w:p w14:paraId="37C80C9B">
      <w:pPr>
        <w:spacing w:line="360" w:lineRule="auto"/>
        <w:ind w:firstLine="480" w:firstLineChars="200"/>
        <w:rPr>
          <w:rFonts w:ascii="Times New Roman" w:hAnsi="Times New Roman"/>
          <w:sz w:val="24"/>
        </w:rPr>
      </w:pPr>
      <w:r>
        <w:rPr>
          <w:rFonts w:hint="eastAsia" w:ascii="Times New Roman" w:hAnsi="Times New Roman"/>
          <w:sz w:val="24"/>
        </w:rPr>
        <w:t>本项目不接受联合体。</w:t>
      </w:r>
    </w:p>
    <w:p w14:paraId="17667586">
      <w:pPr>
        <w:spacing w:line="360" w:lineRule="auto"/>
        <w:ind w:firstLine="482" w:firstLineChars="200"/>
        <w:rPr>
          <w:rFonts w:ascii="Times New Roman" w:hAnsi="Times New Roman"/>
          <w:b/>
          <w:sz w:val="24"/>
        </w:rPr>
      </w:pPr>
      <w:r>
        <w:rPr>
          <w:rFonts w:hint="eastAsia" w:ascii="Times New Roman" w:hAnsi="Times New Roman"/>
          <w:b/>
          <w:sz w:val="24"/>
        </w:rPr>
        <w:t>二、申请人的资格要求</w:t>
      </w:r>
    </w:p>
    <w:p w14:paraId="5165C498">
      <w:pPr>
        <w:spacing w:line="360" w:lineRule="auto"/>
        <w:ind w:firstLine="480" w:firstLineChars="200"/>
        <w:rPr>
          <w:rFonts w:ascii="Times New Roman" w:hAnsi="Times New Roman"/>
          <w:sz w:val="24"/>
        </w:rPr>
      </w:pPr>
      <w:r>
        <w:rPr>
          <w:rFonts w:hint="eastAsia" w:ascii="Times New Roman" w:hAnsi="Times New Roman"/>
          <w:sz w:val="24"/>
        </w:rPr>
        <w:t>1、符合《中华人民共和国政府采购法》第二十二条规定，并提供声明函：</w:t>
      </w:r>
    </w:p>
    <w:p w14:paraId="4BC28B91">
      <w:pPr>
        <w:spacing w:line="360" w:lineRule="auto"/>
        <w:ind w:firstLine="480" w:firstLineChars="200"/>
        <w:rPr>
          <w:rFonts w:ascii="Times New Roman" w:hAnsi="Times New Roman"/>
          <w:sz w:val="24"/>
        </w:rPr>
      </w:pPr>
      <w:r>
        <w:rPr>
          <w:rFonts w:hint="eastAsia" w:ascii="Times New Roman" w:hAnsi="Times New Roman"/>
          <w:sz w:val="24"/>
        </w:rPr>
        <w:t>（1）具有独立承担民事责任的能力；</w:t>
      </w:r>
    </w:p>
    <w:p w14:paraId="73A9AE4D">
      <w:pPr>
        <w:spacing w:line="360" w:lineRule="auto"/>
        <w:ind w:firstLine="480" w:firstLineChars="200"/>
        <w:rPr>
          <w:rFonts w:ascii="Times New Roman" w:hAnsi="Times New Roman"/>
          <w:sz w:val="24"/>
        </w:rPr>
      </w:pPr>
      <w:r>
        <w:rPr>
          <w:rFonts w:hint="eastAsia" w:ascii="Times New Roman" w:hAnsi="Times New Roman"/>
          <w:sz w:val="24"/>
        </w:rPr>
        <w:t>（2）具有良好的商业信誉和健全的财务会计制度；</w:t>
      </w:r>
    </w:p>
    <w:p w14:paraId="1F7A8E07">
      <w:pPr>
        <w:spacing w:line="360" w:lineRule="auto"/>
        <w:ind w:firstLine="480" w:firstLineChars="200"/>
        <w:rPr>
          <w:rFonts w:ascii="Times New Roman" w:hAnsi="Times New Roman"/>
          <w:sz w:val="24"/>
        </w:rPr>
      </w:pPr>
      <w:r>
        <w:rPr>
          <w:rFonts w:hint="eastAsia" w:ascii="Times New Roman" w:hAnsi="Times New Roman"/>
          <w:sz w:val="24"/>
        </w:rPr>
        <w:t>（3）具有履行合同所必需的设备和专业技术能力；</w:t>
      </w:r>
    </w:p>
    <w:p w14:paraId="20B8A998">
      <w:pPr>
        <w:spacing w:line="360" w:lineRule="auto"/>
        <w:ind w:firstLine="480" w:firstLineChars="200"/>
        <w:rPr>
          <w:rFonts w:ascii="Times New Roman" w:hAnsi="Times New Roman"/>
          <w:sz w:val="24"/>
        </w:rPr>
      </w:pPr>
      <w:r>
        <w:rPr>
          <w:rFonts w:hint="eastAsia" w:ascii="Times New Roman" w:hAnsi="Times New Roman"/>
          <w:sz w:val="24"/>
        </w:rPr>
        <w:t>（4）有依法缴纳税收和社会保障资金的良好记录；</w:t>
      </w:r>
    </w:p>
    <w:p w14:paraId="7DDE4CBA">
      <w:pPr>
        <w:spacing w:line="360" w:lineRule="auto"/>
        <w:ind w:firstLine="480" w:firstLineChars="200"/>
        <w:rPr>
          <w:rFonts w:ascii="Times New Roman" w:hAnsi="Times New Roman"/>
          <w:sz w:val="24"/>
        </w:rPr>
      </w:pPr>
      <w:r>
        <w:rPr>
          <w:rFonts w:hint="eastAsia" w:ascii="Times New Roman" w:hAnsi="Times New Roman"/>
          <w:sz w:val="24"/>
        </w:rPr>
        <w:t>（5）参加政府采购活动前三年内，在经营活动中没有重大违法记录；</w:t>
      </w:r>
    </w:p>
    <w:p w14:paraId="11F0D35C">
      <w:pPr>
        <w:spacing w:line="360" w:lineRule="auto"/>
        <w:ind w:firstLine="480" w:firstLineChars="200"/>
        <w:rPr>
          <w:rFonts w:ascii="Times New Roman" w:hAnsi="Times New Roman"/>
          <w:sz w:val="24"/>
        </w:rPr>
      </w:pPr>
      <w:r>
        <w:rPr>
          <w:rFonts w:hint="eastAsia" w:ascii="Times New Roman" w:hAnsi="Times New Roman"/>
          <w:sz w:val="24"/>
        </w:rPr>
        <w:t>（6）法律、行政法规规定的其他条件。</w:t>
      </w:r>
    </w:p>
    <w:p w14:paraId="36B4F1C0">
      <w:pPr>
        <w:spacing w:line="360" w:lineRule="auto"/>
        <w:ind w:firstLine="480" w:firstLineChars="200"/>
        <w:rPr>
          <w:rFonts w:ascii="Times New Roman" w:hAnsi="Times New Roman"/>
          <w:sz w:val="24"/>
        </w:rPr>
      </w:pPr>
      <w:r>
        <w:rPr>
          <w:rFonts w:hint="eastAsia" w:ascii="Times New Roman" w:hAnsi="Times New Roman"/>
          <w:sz w:val="24"/>
        </w:rPr>
        <w:t>2、落实政府采购政策需满足的资格要求：</w:t>
      </w:r>
      <w:r>
        <w:rPr>
          <w:rFonts w:hint="eastAsia" w:ascii="Times New Roman" w:hAnsi="Times New Roman"/>
          <w:sz w:val="24"/>
          <w:u w:val="single"/>
        </w:rPr>
        <w:t xml:space="preserve">无 </w:t>
      </w:r>
      <w:r>
        <w:rPr>
          <w:rFonts w:hint="eastAsia" w:ascii="Times New Roman" w:hAnsi="Times New Roman"/>
          <w:sz w:val="24"/>
        </w:rPr>
        <w:t>。</w:t>
      </w:r>
    </w:p>
    <w:p w14:paraId="1C9232EF">
      <w:pPr>
        <w:spacing w:line="360" w:lineRule="auto"/>
        <w:ind w:firstLine="480" w:firstLineChars="200"/>
        <w:rPr>
          <w:rFonts w:ascii="Times New Roman" w:hAnsi="Times New Roman"/>
          <w:sz w:val="24"/>
        </w:rPr>
      </w:pPr>
      <w:r>
        <w:rPr>
          <w:rFonts w:hint="eastAsia" w:ascii="Times New Roman" w:hAnsi="Times New Roman"/>
          <w:sz w:val="24"/>
        </w:rPr>
        <w:t>3、本项目其他资格要求：</w:t>
      </w:r>
    </w:p>
    <w:p w14:paraId="076C4D11">
      <w:pPr>
        <w:spacing w:line="360" w:lineRule="auto"/>
        <w:ind w:firstLine="480" w:firstLineChars="200"/>
        <w:rPr>
          <w:rFonts w:ascii="Times New Roman" w:hAnsi="Times New Roman"/>
          <w:sz w:val="24"/>
        </w:rPr>
      </w:pPr>
      <w:r>
        <w:rPr>
          <w:rFonts w:hint="eastAsia" w:ascii="Times New Roman" w:hAnsi="Times New Roman"/>
          <w:sz w:val="24"/>
        </w:rPr>
        <w:t>（1）供应商须为中华人民共和国境内合法成立的律师事务所，具有有效的《律师事务所执业许可证》，且正常进行年检；</w:t>
      </w:r>
    </w:p>
    <w:p w14:paraId="5F0256BD">
      <w:pPr>
        <w:spacing w:line="360" w:lineRule="auto"/>
        <w:ind w:firstLine="480" w:firstLineChars="200"/>
        <w:rPr>
          <w:rFonts w:ascii="Times New Roman" w:hAnsi="Times New Roman"/>
          <w:sz w:val="24"/>
        </w:rPr>
      </w:pPr>
      <w:r>
        <w:rPr>
          <w:rFonts w:hint="eastAsia" w:ascii="Times New Roman" w:hAnsi="Times New Roman"/>
          <w:sz w:val="24"/>
        </w:rPr>
        <w:t>（2）法定代理人（负责人）参加磋商的，必须提供法定代理人（负责人）身份证明及法定代理人（负责人）本人身份证复印件；非法定代理人（负责人）参加磋商的，必须提供法定代理人（负责人）签名或盖章的授权委托书及法定代理人（负责人）和被授权人两个人的身份证复印件（格式见附件）；</w:t>
      </w:r>
    </w:p>
    <w:p w14:paraId="65E08ABA">
      <w:pPr>
        <w:spacing w:line="360" w:lineRule="auto"/>
        <w:ind w:firstLine="480" w:firstLineChars="200"/>
        <w:rPr>
          <w:rFonts w:ascii="Times New Roman" w:hAnsi="Times New Roman"/>
          <w:sz w:val="24"/>
        </w:rPr>
      </w:pPr>
      <w:r>
        <w:rPr>
          <w:rFonts w:hint="eastAsia" w:ascii="Times New Roman" w:hAnsi="Times New Roman"/>
          <w:sz w:val="24"/>
        </w:rPr>
        <w:t>4、未被“信用中国”网站列入失信被执行人、重大税收违法案件当事人名单、政府采购严重失信行为记录名单；</w:t>
      </w:r>
    </w:p>
    <w:p w14:paraId="71AC4162">
      <w:pPr>
        <w:spacing w:line="480" w:lineRule="exact"/>
        <w:ind w:firstLine="482" w:firstLineChars="200"/>
        <w:rPr>
          <w:rFonts w:ascii="Times New Roman" w:hAnsi="Times New Roman"/>
          <w:b/>
          <w:sz w:val="24"/>
          <w:lang w:val="zh-CN"/>
        </w:rPr>
      </w:pPr>
      <w:r>
        <w:rPr>
          <w:rFonts w:hint="eastAsia" w:ascii="Times New Roman" w:hAnsi="Times New Roman"/>
          <w:b/>
          <w:sz w:val="24"/>
          <w:lang w:val="zh-CN"/>
        </w:rPr>
        <w:t>具体资格要求详见第八章中的“资格审查文件”。</w:t>
      </w:r>
    </w:p>
    <w:p w14:paraId="0371F728">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三、获取磋商文件</w:t>
      </w:r>
    </w:p>
    <w:p w14:paraId="70A93F39">
      <w:pPr>
        <w:spacing w:line="360" w:lineRule="auto"/>
        <w:ind w:firstLine="480" w:firstLineChars="200"/>
        <w:rPr>
          <w:rFonts w:ascii="Times New Roman" w:hAnsi="Times New Roman" w:cs="宋体"/>
          <w:sz w:val="24"/>
        </w:rPr>
      </w:pPr>
      <w:bookmarkStart w:id="0" w:name="_Toc35393624"/>
      <w:bookmarkStart w:id="1" w:name="_Toc28359005"/>
      <w:bookmarkStart w:id="2" w:name="_Toc28359082"/>
      <w:bookmarkStart w:id="3" w:name="_Toc35393793"/>
      <w:r>
        <w:rPr>
          <w:rFonts w:hint="eastAsia" w:ascii="Times New Roman" w:hAnsi="Times New Roman" w:cs="宋体"/>
          <w:sz w:val="24"/>
        </w:rPr>
        <w:t>1、时间：自本磋商公告发布之日起至2025年</w:t>
      </w:r>
      <w:r>
        <w:rPr>
          <w:rFonts w:hint="eastAsia" w:ascii="Times New Roman" w:hAnsi="Times New Roman" w:cs="宋体"/>
          <w:sz w:val="24"/>
          <w:lang w:val="en-US" w:eastAsia="zh-CN"/>
        </w:rPr>
        <w:t>11</w:t>
      </w:r>
      <w:r>
        <w:rPr>
          <w:rFonts w:hint="eastAsia" w:ascii="Times New Roman" w:hAnsi="Times New Roman" w:cs="宋体"/>
          <w:sz w:val="24"/>
        </w:rPr>
        <w:t>月</w:t>
      </w:r>
      <w:r>
        <w:rPr>
          <w:rFonts w:hint="eastAsia" w:ascii="Times New Roman" w:hAnsi="Times New Roman" w:cs="宋体"/>
          <w:sz w:val="24"/>
          <w:lang w:val="en-US" w:eastAsia="zh-CN"/>
        </w:rPr>
        <w:t>21</w:t>
      </w:r>
      <w:r>
        <w:rPr>
          <w:rFonts w:hint="eastAsia" w:ascii="Times New Roman" w:hAnsi="Times New Roman" w:cs="宋体"/>
          <w:sz w:val="24"/>
        </w:rPr>
        <w:t>日9时30分（北京时间）。</w:t>
      </w:r>
    </w:p>
    <w:p w14:paraId="61E5158C">
      <w:pPr>
        <w:spacing w:line="360" w:lineRule="auto"/>
        <w:ind w:firstLine="480" w:firstLineChars="200"/>
        <w:rPr>
          <w:rFonts w:ascii="Times New Roman" w:hAnsi="Times New Roman" w:cs="宋体"/>
          <w:sz w:val="24"/>
        </w:rPr>
      </w:pPr>
      <w:r>
        <w:rPr>
          <w:rFonts w:hint="eastAsia" w:ascii="Times New Roman" w:hAnsi="Times New Roman" w:cs="宋体"/>
          <w:sz w:val="24"/>
        </w:rPr>
        <w:t>2、方式：在南通市医疗保障局官网自行下载采购文件。</w:t>
      </w:r>
    </w:p>
    <w:p w14:paraId="44ADF854">
      <w:pPr>
        <w:spacing w:line="360" w:lineRule="auto"/>
        <w:ind w:firstLine="480" w:firstLineChars="200"/>
        <w:rPr>
          <w:rFonts w:ascii="Times New Roman" w:hAnsi="Times New Roman" w:cs="宋体"/>
          <w:sz w:val="24"/>
        </w:rPr>
      </w:pPr>
      <w:r>
        <w:rPr>
          <w:rFonts w:hint="eastAsia" w:ascii="Times New Roman" w:hAnsi="Times New Roman" w:cs="宋体"/>
          <w:sz w:val="24"/>
        </w:rPr>
        <w:t>3、售价：300元/份，报名时递交给采购代理机构，售后不退。</w:t>
      </w:r>
    </w:p>
    <w:p w14:paraId="5889DDD5">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4、报名方式：请有意参与本项目响应的供应商于2025年</w:t>
      </w:r>
      <w:r>
        <w:rPr>
          <w:rFonts w:hint="eastAsia" w:ascii="Times New Roman" w:hAnsi="Times New Roman" w:cs="宋体"/>
          <w:b/>
          <w:bCs/>
          <w:sz w:val="24"/>
          <w:lang w:val="en-US" w:eastAsia="zh-CN"/>
        </w:rPr>
        <w:t>11</w:t>
      </w:r>
      <w:r>
        <w:rPr>
          <w:rFonts w:hint="eastAsia" w:ascii="Times New Roman" w:hAnsi="Times New Roman" w:cs="宋体"/>
          <w:b/>
          <w:bCs/>
          <w:sz w:val="24"/>
        </w:rPr>
        <w:t>月</w:t>
      </w:r>
      <w:r>
        <w:rPr>
          <w:rFonts w:hint="eastAsia" w:ascii="Times New Roman" w:hAnsi="Times New Roman" w:cs="宋体"/>
          <w:b/>
          <w:bCs/>
          <w:sz w:val="24"/>
          <w:lang w:val="en-US" w:eastAsia="zh-CN"/>
        </w:rPr>
        <w:t>20</w:t>
      </w:r>
      <w:r>
        <w:rPr>
          <w:rFonts w:hint="eastAsia" w:ascii="Times New Roman" w:hAnsi="Times New Roman" w:cs="宋体"/>
          <w:b/>
          <w:bCs/>
          <w:sz w:val="24"/>
        </w:rPr>
        <w:t>日18时00分前联系代理机构报名，联系人董安国，联系方式：18912299056，邮箱：812298892@qq.com （报名函见附件），未报名单位不得参加本项目的响应。</w:t>
      </w:r>
    </w:p>
    <w:bookmarkEnd w:id="0"/>
    <w:bookmarkEnd w:id="1"/>
    <w:bookmarkEnd w:id="2"/>
    <w:bookmarkEnd w:id="3"/>
    <w:p w14:paraId="7BF2EC11">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四、响应文件提交</w:t>
      </w:r>
    </w:p>
    <w:p w14:paraId="7AA13612">
      <w:pPr>
        <w:spacing w:line="360" w:lineRule="auto"/>
        <w:ind w:firstLine="480" w:firstLineChars="200"/>
        <w:rPr>
          <w:rFonts w:ascii="Times New Roman" w:hAnsi="Times New Roman" w:cs="宋体"/>
          <w:sz w:val="24"/>
        </w:rPr>
      </w:pPr>
      <w:r>
        <w:rPr>
          <w:rFonts w:hint="eastAsia" w:ascii="Times New Roman" w:hAnsi="Times New Roman" w:cs="宋体"/>
          <w:sz w:val="24"/>
        </w:rPr>
        <w:t>1、提交响应文件截止时间：</w:t>
      </w:r>
      <w:r>
        <w:rPr>
          <w:rFonts w:hint="eastAsia" w:ascii="Times New Roman" w:hAnsi="Times New Roman" w:cs="宋体"/>
          <w:sz w:val="24"/>
          <w:u w:val="single"/>
        </w:rPr>
        <w:t>2025年</w:t>
      </w:r>
      <w:r>
        <w:rPr>
          <w:rFonts w:hint="eastAsia" w:ascii="Times New Roman" w:hAnsi="Times New Roman"/>
          <w:sz w:val="24"/>
          <w:u w:val="single"/>
        </w:rPr>
        <w:t>11月</w:t>
      </w:r>
      <w:r>
        <w:rPr>
          <w:rFonts w:hint="eastAsia" w:ascii="Times New Roman" w:hAnsi="Times New Roman"/>
          <w:sz w:val="24"/>
          <w:u w:val="single"/>
          <w:lang w:val="en-US" w:eastAsia="zh-CN"/>
        </w:rPr>
        <w:t>21</w:t>
      </w:r>
      <w:r>
        <w:rPr>
          <w:rFonts w:hint="eastAsia" w:ascii="Times New Roman" w:hAnsi="Times New Roman"/>
          <w:sz w:val="24"/>
          <w:u w:val="single"/>
        </w:rPr>
        <w:t>日09时30分</w:t>
      </w:r>
      <w:r>
        <w:rPr>
          <w:rFonts w:hint="eastAsia" w:ascii="Times New Roman" w:hAnsi="Times New Roman" w:cs="宋体"/>
          <w:sz w:val="24"/>
          <w:u w:val="single"/>
        </w:rPr>
        <w:t>（北京时间）</w:t>
      </w:r>
      <w:r>
        <w:rPr>
          <w:rFonts w:hint="eastAsia" w:ascii="Times New Roman" w:hAnsi="Times New Roman" w:cs="宋体"/>
          <w:sz w:val="24"/>
        </w:rPr>
        <w:t>。逾时，采购人将拒绝接受响应文件纸质文档。</w:t>
      </w:r>
      <w:bookmarkStart w:id="12" w:name="_GoBack"/>
      <w:bookmarkEnd w:id="12"/>
    </w:p>
    <w:p w14:paraId="2FA34D5A">
      <w:pPr>
        <w:spacing w:line="360" w:lineRule="auto"/>
        <w:ind w:firstLine="480" w:firstLineChars="200"/>
        <w:rPr>
          <w:rFonts w:ascii="Times New Roman" w:hAnsi="Times New Roman" w:cs="宋体"/>
          <w:sz w:val="24"/>
        </w:rPr>
      </w:pPr>
      <w:r>
        <w:rPr>
          <w:rFonts w:hint="eastAsia" w:ascii="Times New Roman" w:hAnsi="Times New Roman" w:cs="宋体"/>
          <w:sz w:val="24"/>
        </w:rPr>
        <w:t>2、提交响应文件地点：</w:t>
      </w:r>
      <w:r>
        <w:rPr>
          <w:rFonts w:hint="eastAsia" w:ascii="Times New Roman" w:hAnsi="Times New Roman" w:cs="宋体"/>
          <w:sz w:val="24"/>
          <w:u w:val="single"/>
        </w:rPr>
        <w:t>南通市崇川区工农南路150号政务中心主楼15楼西会议室</w:t>
      </w:r>
      <w:r>
        <w:rPr>
          <w:rFonts w:hint="eastAsia" w:ascii="Times New Roman" w:hAnsi="Times New Roman" w:cs="宋体"/>
          <w:sz w:val="24"/>
        </w:rPr>
        <w:t>，如有变动另行通知。</w:t>
      </w:r>
    </w:p>
    <w:p w14:paraId="1DC06C52">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五、开启</w:t>
      </w:r>
    </w:p>
    <w:p w14:paraId="4778C5EB">
      <w:pPr>
        <w:spacing w:line="360" w:lineRule="auto"/>
        <w:ind w:firstLine="480" w:firstLineChars="200"/>
        <w:rPr>
          <w:rFonts w:ascii="Times New Roman" w:hAnsi="Times New Roman" w:cs="宋体"/>
          <w:sz w:val="24"/>
        </w:rPr>
      </w:pPr>
      <w:r>
        <w:rPr>
          <w:rFonts w:hint="eastAsia" w:ascii="Times New Roman" w:hAnsi="Times New Roman" w:cs="宋体"/>
          <w:sz w:val="24"/>
        </w:rPr>
        <w:t>1、时间：</w:t>
      </w:r>
      <w:r>
        <w:rPr>
          <w:rFonts w:hint="eastAsia" w:ascii="Times New Roman" w:hAnsi="Times New Roman" w:cs="宋体"/>
          <w:sz w:val="24"/>
          <w:u w:val="single"/>
        </w:rPr>
        <w:t>2025年</w:t>
      </w:r>
      <w:r>
        <w:rPr>
          <w:rFonts w:hint="eastAsia" w:ascii="Times New Roman" w:hAnsi="Times New Roman"/>
          <w:sz w:val="24"/>
          <w:u w:val="single"/>
        </w:rPr>
        <w:t>11月</w:t>
      </w:r>
      <w:r>
        <w:rPr>
          <w:rFonts w:hint="eastAsia" w:ascii="Times New Roman" w:hAnsi="Times New Roman"/>
          <w:sz w:val="24"/>
          <w:u w:val="single"/>
          <w:lang w:val="en-US" w:eastAsia="zh-CN"/>
        </w:rPr>
        <w:t>21</w:t>
      </w:r>
      <w:r>
        <w:rPr>
          <w:rFonts w:hint="eastAsia" w:ascii="Times New Roman" w:hAnsi="Times New Roman"/>
          <w:sz w:val="24"/>
          <w:u w:val="single"/>
        </w:rPr>
        <w:t>日09时30分</w:t>
      </w:r>
      <w:r>
        <w:rPr>
          <w:rFonts w:hint="eastAsia" w:ascii="Times New Roman" w:hAnsi="Times New Roman" w:cs="宋体"/>
          <w:sz w:val="24"/>
          <w:u w:val="single"/>
        </w:rPr>
        <w:t>（北京时间）</w:t>
      </w:r>
      <w:r>
        <w:rPr>
          <w:rFonts w:hint="eastAsia" w:ascii="Times New Roman" w:hAnsi="Times New Roman" w:cs="宋体"/>
          <w:sz w:val="24"/>
        </w:rPr>
        <w:t>。</w:t>
      </w:r>
    </w:p>
    <w:p w14:paraId="34AA6586">
      <w:pPr>
        <w:spacing w:line="360" w:lineRule="auto"/>
        <w:ind w:firstLine="480" w:firstLineChars="200"/>
      </w:pPr>
      <w:r>
        <w:rPr>
          <w:rFonts w:hint="eastAsia" w:ascii="Times New Roman" w:hAnsi="Times New Roman" w:cs="宋体"/>
          <w:sz w:val="24"/>
        </w:rPr>
        <w:t>2、开启文件及开标地点：</w:t>
      </w:r>
      <w:r>
        <w:rPr>
          <w:rFonts w:hint="eastAsia" w:ascii="Times New Roman" w:hAnsi="Times New Roman" w:cs="宋体"/>
          <w:sz w:val="24"/>
          <w:u w:val="single"/>
        </w:rPr>
        <w:t>南通市崇川区工农南路150号政务中心主15楼西会议室</w:t>
      </w:r>
      <w:r>
        <w:rPr>
          <w:rFonts w:hint="eastAsia" w:ascii="Times New Roman" w:hAnsi="Times New Roman" w:cs="宋体"/>
          <w:sz w:val="24"/>
        </w:rPr>
        <w:t>。</w:t>
      </w:r>
    </w:p>
    <w:p w14:paraId="4C9BBFFC">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六、公告期限</w:t>
      </w:r>
    </w:p>
    <w:p w14:paraId="659B0D4F">
      <w:pPr>
        <w:spacing w:line="360" w:lineRule="auto"/>
        <w:ind w:firstLine="480" w:firstLineChars="200"/>
        <w:rPr>
          <w:rFonts w:ascii="Times New Roman" w:hAnsi="Times New Roman" w:cs="宋体"/>
          <w:bCs/>
          <w:sz w:val="24"/>
        </w:rPr>
      </w:pPr>
      <w:r>
        <w:rPr>
          <w:rFonts w:hint="eastAsia" w:ascii="Times New Roman" w:hAnsi="Times New Roman" w:cs="宋体"/>
          <w:bCs/>
          <w:sz w:val="24"/>
        </w:rPr>
        <w:t>自本公告发布之日起3个工作日。</w:t>
      </w:r>
    </w:p>
    <w:p w14:paraId="6946880B">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七、其他补充事宜</w:t>
      </w:r>
    </w:p>
    <w:p w14:paraId="48788B96">
      <w:pPr>
        <w:spacing w:line="360" w:lineRule="auto"/>
        <w:ind w:firstLine="480" w:firstLineChars="200"/>
        <w:rPr>
          <w:rFonts w:ascii="Times New Roman" w:hAnsi="Times New Roman" w:cs="宋体"/>
          <w:bCs/>
          <w:sz w:val="24"/>
        </w:rPr>
      </w:pPr>
      <w:r>
        <w:rPr>
          <w:rFonts w:hint="eastAsia" w:ascii="Times New Roman" w:hAnsi="Times New Roman" w:cs="宋体"/>
          <w:bCs/>
          <w:sz w:val="24"/>
        </w:rPr>
        <w:t>1、磋商保证金：免收。本项目不收取磋商保证金，采购文件中涉及磋商保证金的事项，均按免收保证金执行。</w:t>
      </w:r>
    </w:p>
    <w:p w14:paraId="3815C67C">
      <w:pPr>
        <w:spacing w:line="360" w:lineRule="auto"/>
        <w:ind w:firstLine="480" w:firstLineChars="200"/>
        <w:rPr>
          <w:rFonts w:ascii="Times New Roman" w:hAnsi="Times New Roman" w:cs="宋体"/>
          <w:bCs/>
          <w:sz w:val="24"/>
        </w:rPr>
      </w:pPr>
      <w:r>
        <w:rPr>
          <w:rFonts w:hint="eastAsia" w:ascii="Times New Roman" w:hAnsi="Times New Roman" w:cs="宋体"/>
          <w:bCs/>
          <w:sz w:val="24"/>
        </w:rPr>
        <w:t>2、项目磋商活动模式：现场磋商模式。</w:t>
      </w:r>
    </w:p>
    <w:p w14:paraId="51F66718">
      <w:pPr>
        <w:spacing w:line="360" w:lineRule="auto"/>
        <w:ind w:firstLine="480" w:firstLineChars="200"/>
        <w:rPr>
          <w:rFonts w:ascii="Times New Roman" w:hAnsi="Times New Roman" w:cs="宋体"/>
          <w:bCs/>
          <w:sz w:val="24"/>
        </w:rPr>
      </w:pPr>
      <w:r>
        <w:rPr>
          <w:rFonts w:hint="eastAsia" w:ascii="Times New Roman" w:hAnsi="Times New Roman" w:cs="宋体"/>
          <w:bCs/>
          <w:sz w:val="24"/>
        </w:rPr>
        <w:t>3、项目演示、样品、答辩等：无。</w:t>
      </w:r>
    </w:p>
    <w:p w14:paraId="54A398BB">
      <w:pPr>
        <w:spacing w:line="360" w:lineRule="auto"/>
        <w:ind w:firstLine="480" w:firstLineChars="200"/>
        <w:rPr>
          <w:rFonts w:ascii="Times New Roman" w:hAnsi="Times New Roman" w:cs="宋体"/>
          <w:bCs/>
          <w:sz w:val="24"/>
        </w:rPr>
      </w:pPr>
      <w:r>
        <w:rPr>
          <w:rFonts w:hint="eastAsia" w:ascii="Times New Roman" w:hAnsi="Times New Roman" w:cs="宋体"/>
          <w:bCs/>
          <w:sz w:val="24"/>
        </w:rPr>
        <w:t>4、对项目需求部分（供应商其他资格要求、项目需求、评分标准）的询问、质疑请向采购人提出，由采购人负责答复；对项目磋商文件其他部分的询问请向采购人或招标代理提出。</w:t>
      </w:r>
    </w:p>
    <w:p w14:paraId="76FC33C2">
      <w:pPr>
        <w:spacing w:line="360" w:lineRule="auto"/>
        <w:ind w:firstLine="480" w:firstLineChars="200"/>
        <w:rPr>
          <w:rFonts w:ascii="Times New Roman" w:hAnsi="Times New Roman" w:cs="宋体"/>
          <w:bCs/>
          <w:sz w:val="24"/>
        </w:rPr>
      </w:pPr>
      <w:r>
        <w:rPr>
          <w:rFonts w:hint="eastAsia" w:ascii="Times New Roman" w:hAnsi="Times New Roman" w:cs="宋体"/>
          <w:bCs/>
          <w:sz w:val="24"/>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2DD86BA1">
      <w:pPr>
        <w:spacing w:line="360" w:lineRule="auto"/>
        <w:ind w:firstLine="482" w:firstLineChars="200"/>
        <w:rPr>
          <w:rFonts w:ascii="Times New Roman" w:hAnsi="Times New Roman" w:cs="宋体"/>
          <w:b/>
          <w:bCs/>
          <w:sz w:val="24"/>
        </w:rPr>
      </w:pPr>
      <w:bookmarkStart w:id="4" w:name="_Toc35393627"/>
      <w:bookmarkStart w:id="5" w:name="_Toc28359008"/>
      <w:bookmarkStart w:id="6" w:name="_Toc35393796"/>
      <w:bookmarkStart w:id="7" w:name="_Toc28359085"/>
      <w:r>
        <w:rPr>
          <w:rFonts w:hint="eastAsia" w:ascii="Times New Roman" w:hAnsi="Times New Roman" w:cs="宋体"/>
          <w:b/>
          <w:bCs/>
          <w:sz w:val="24"/>
        </w:rPr>
        <w:t>八、对本次磋商提出询问，请按以下方式联系。</w:t>
      </w:r>
      <w:bookmarkEnd w:id="4"/>
      <w:bookmarkEnd w:id="5"/>
      <w:bookmarkEnd w:id="6"/>
      <w:bookmarkEnd w:id="7"/>
    </w:p>
    <w:p w14:paraId="597300FA">
      <w:pPr>
        <w:spacing w:line="360" w:lineRule="auto"/>
        <w:ind w:firstLine="480" w:firstLineChars="200"/>
        <w:rPr>
          <w:rFonts w:ascii="Times New Roman" w:hAnsi="Times New Roman" w:cs="宋体"/>
          <w:bCs/>
          <w:sz w:val="24"/>
        </w:rPr>
      </w:pPr>
      <w:r>
        <w:rPr>
          <w:rFonts w:hint="eastAsia" w:ascii="Times New Roman" w:hAnsi="Times New Roman" w:cs="宋体"/>
          <w:bCs/>
          <w:sz w:val="24"/>
        </w:rPr>
        <w:t>1.采购人信息</w:t>
      </w:r>
    </w:p>
    <w:p w14:paraId="3CDF6040">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名称：</w:t>
      </w:r>
      <w:r>
        <w:rPr>
          <w:rFonts w:hint="eastAsia" w:ascii="Times New Roman" w:hAnsi="Times New Roman" w:cs="宋体"/>
          <w:bCs/>
          <w:sz w:val="24"/>
          <w:u w:val="single"/>
        </w:rPr>
        <w:t xml:space="preserve">南通市医疗保障局 </w:t>
      </w:r>
    </w:p>
    <w:p w14:paraId="72AC3E15">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地址：</w:t>
      </w:r>
      <w:r>
        <w:rPr>
          <w:rFonts w:hint="eastAsia" w:ascii="Times New Roman" w:hAnsi="Times New Roman" w:cs="宋体"/>
          <w:bCs/>
          <w:sz w:val="24"/>
          <w:u w:val="single"/>
        </w:rPr>
        <w:t xml:space="preserve">南通市崇川区工农南路150号 </w:t>
      </w:r>
    </w:p>
    <w:p w14:paraId="1AA68F9D">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联系人：</w:t>
      </w:r>
      <w:bookmarkStart w:id="8" w:name="_Toc28359086"/>
      <w:bookmarkStart w:id="9" w:name="_Toc28359009"/>
      <w:r>
        <w:rPr>
          <w:rFonts w:hint="eastAsia" w:ascii="Times New Roman" w:hAnsi="Times New Roman" w:cs="宋体"/>
          <w:bCs/>
          <w:sz w:val="24"/>
          <w:u w:val="single"/>
        </w:rPr>
        <w:t xml:space="preserve">王女士 </w:t>
      </w:r>
    </w:p>
    <w:p w14:paraId="5C8756CC">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联系电话：</w:t>
      </w:r>
      <w:r>
        <w:rPr>
          <w:rFonts w:hint="eastAsia" w:ascii="Times New Roman" w:hAnsi="Times New Roman" w:cs="宋体"/>
          <w:bCs/>
          <w:sz w:val="24"/>
          <w:u w:val="single"/>
        </w:rPr>
        <w:t xml:space="preserve">0513-59001576 </w:t>
      </w:r>
    </w:p>
    <w:p w14:paraId="0EA64726">
      <w:pPr>
        <w:spacing w:line="360" w:lineRule="auto"/>
        <w:ind w:firstLine="480" w:firstLineChars="200"/>
        <w:rPr>
          <w:rFonts w:ascii="Times New Roman" w:hAnsi="Times New Roman" w:cs="宋体"/>
          <w:bCs/>
          <w:sz w:val="24"/>
        </w:rPr>
      </w:pPr>
      <w:r>
        <w:rPr>
          <w:rFonts w:hint="eastAsia" w:ascii="Times New Roman" w:hAnsi="Times New Roman" w:cs="宋体"/>
          <w:bCs/>
          <w:sz w:val="24"/>
        </w:rPr>
        <w:t>2.采购</w:t>
      </w:r>
      <w:r>
        <w:rPr>
          <w:rFonts w:hint="eastAsia" w:ascii="Times New Roman" w:hAnsi="Times New Roman"/>
          <w:sz w:val="24"/>
        </w:rPr>
        <w:t>代理</w:t>
      </w:r>
      <w:r>
        <w:rPr>
          <w:rFonts w:hint="eastAsia" w:ascii="Times New Roman" w:hAnsi="Times New Roman" w:cs="宋体"/>
          <w:bCs/>
          <w:sz w:val="24"/>
        </w:rPr>
        <w:t>机构信息</w:t>
      </w:r>
      <w:bookmarkEnd w:id="8"/>
      <w:bookmarkEnd w:id="9"/>
    </w:p>
    <w:p w14:paraId="742B103C">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名称：</w:t>
      </w:r>
      <w:r>
        <w:rPr>
          <w:rFonts w:hint="eastAsia" w:ascii="Times New Roman" w:hAnsi="Times New Roman" w:cs="宋体"/>
          <w:bCs/>
          <w:sz w:val="24"/>
          <w:u w:val="single"/>
        </w:rPr>
        <w:t>宏信天德工程顾问有限公司</w:t>
      </w:r>
    </w:p>
    <w:p w14:paraId="5EA2E199">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地　址：</w:t>
      </w:r>
      <w:r>
        <w:rPr>
          <w:rFonts w:hint="eastAsia" w:ascii="Times New Roman" w:hAnsi="Times New Roman" w:cs="宋体"/>
          <w:bCs/>
          <w:sz w:val="24"/>
          <w:u w:val="single"/>
        </w:rPr>
        <w:t>南通市崇川区江海大道488号金贸国际2501</w:t>
      </w:r>
    </w:p>
    <w:p w14:paraId="506728D0">
      <w:pPr>
        <w:spacing w:line="360" w:lineRule="auto"/>
        <w:ind w:firstLine="480" w:firstLineChars="200"/>
        <w:rPr>
          <w:rFonts w:ascii="Times New Roman" w:hAnsi="Times New Roman" w:cs="宋体"/>
          <w:bCs/>
          <w:sz w:val="24"/>
        </w:rPr>
      </w:pPr>
      <w:r>
        <w:rPr>
          <w:rFonts w:hint="eastAsia" w:ascii="Times New Roman" w:hAnsi="Times New Roman" w:cs="宋体"/>
          <w:bCs/>
          <w:sz w:val="24"/>
        </w:rPr>
        <w:t>联系人：</w:t>
      </w:r>
      <w:r>
        <w:rPr>
          <w:rFonts w:hint="eastAsia" w:ascii="Times New Roman" w:hAnsi="Times New Roman" w:cs="宋体"/>
          <w:bCs/>
          <w:sz w:val="24"/>
          <w:u w:val="single"/>
        </w:rPr>
        <w:t>董安国</w:t>
      </w:r>
    </w:p>
    <w:p w14:paraId="2519A9D0">
      <w:pPr>
        <w:spacing w:line="360" w:lineRule="auto"/>
        <w:ind w:firstLine="480" w:firstLineChars="200"/>
        <w:rPr>
          <w:rFonts w:ascii="Times New Roman" w:hAnsi="Times New Roman" w:cs="宋体"/>
          <w:bCs/>
          <w:sz w:val="24"/>
          <w:u w:val="single"/>
        </w:rPr>
      </w:pPr>
      <w:r>
        <w:rPr>
          <w:rFonts w:hint="eastAsia" w:ascii="Times New Roman" w:hAnsi="Times New Roman" w:cs="宋体"/>
          <w:bCs/>
          <w:sz w:val="24"/>
        </w:rPr>
        <w:t>联系方式：</w:t>
      </w:r>
      <w:bookmarkStart w:id="10" w:name="_Toc28359010"/>
      <w:bookmarkStart w:id="11" w:name="_Toc28359087"/>
      <w:r>
        <w:rPr>
          <w:rFonts w:hint="eastAsia" w:ascii="Times New Roman" w:hAnsi="Times New Roman" w:cs="宋体"/>
          <w:bCs/>
          <w:sz w:val="24"/>
          <w:u w:val="single"/>
        </w:rPr>
        <w:t>18912299056</w:t>
      </w:r>
    </w:p>
    <w:p w14:paraId="480F540F">
      <w:pPr>
        <w:spacing w:line="360" w:lineRule="auto"/>
        <w:ind w:firstLine="480" w:firstLineChars="200"/>
        <w:textAlignment w:val="baseline"/>
        <w:rPr>
          <w:rFonts w:ascii="Times New Roman" w:hAnsi="Times New Roman" w:cs="宋体"/>
          <w:bCs/>
          <w:sz w:val="24"/>
          <w:u w:val="single"/>
        </w:rPr>
      </w:pPr>
      <w:r>
        <w:rPr>
          <w:rFonts w:hint="eastAsia" w:ascii="Times New Roman" w:hAnsi="Times New Roman"/>
          <w:sz w:val="24"/>
        </w:rPr>
        <w:t xml:space="preserve">邮箱： </w:t>
      </w:r>
      <w:r>
        <w:rPr>
          <w:rFonts w:hint="eastAsia" w:ascii="Times New Roman" w:hAnsi="Times New Roman" w:cs="宋体"/>
          <w:bCs/>
          <w:sz w:val="24"/>
          <w:u w:val="single"/>
        </w:rPr>
        <w:t xml:space="preserve">812298892@qq.com </w:t>
      </w:r>
    </w:p>
    <w:p w14:paraId="0DEC05B0">
      <w:pPr>
        <w:pStyle w:val="10"/>
      </w:pPr>
    </w:p>
    <w:bookmarkEnd w:id="10"/>
    <w:bookmarkEnd w:id="11"/>
    <w:p w14:paraId="69AB8C97">
      <w:pPr>
        <w:spacing w:line="360" w:lineRule="auto"/>
        <w:ind w:firstLine="640" w:firstLineChars="200"/>
        <w:rPr>
          <w:rFonts w:ascii="Times New Roman" w:hAnsi="Times New Roman" w:cs="仿宋"/>
          <w:bCs/>
          <w:kern w:val="0"/>
          <w:sz w:val="32"/>
          <w:szCs w:val="32"/>
        </w:rPr>
      </w:pPr>
    </w:p>
    <w:p w14:paraId="5CF2D4E6">
      <w:pPr>
        <w:widowControl/>
        <w:spacing w:line="720" w:lineRule="auto"/>
        <w:jc w:val="center"/>
        <w:rPr>
          <w:rFonts w:ascii="Times New Roman" w:hAnsi="Times New Roman" w:cs="宋体"/>
          <w:b/>
          <w:bCs/>
          <w:sz w:val="36"/>
          <w:szCs w:val="36"/>
        </w:rPr>
      </w:pPr>
      <w:r>
        <w:rPr>
          <w:rFonts w:ascii="Times New Roman" w:hAnsi="Times New Roman" w:cs="宋体"/>
          <w:kern w:val="0"/>
          <w:sz w:val="28"/>
          <w:szCs w:val="28"/>
        </w:rPr>
        <w:br w:type="page"/>
      </w:r>
      <w:r>
        <w:rPr>
          <w:rFonts w:hint="eastAsia" w:ascii="Times New Roman" w:hAnsi="Times New Roman" w:cs="方正小标宋简体"/>
          <w:b/>
          <w:bCs/>
          <w:sz w:val="44"/>
          <w:szCs w:val="44"/>
          <w:lang w:val="zh-CN"/>
        </w:rPr>
        <w:t>第二章 竞争性磋商须知</w:t>
      </w:r>
    </w:p>
    <w:p w14:paraId="4E9C97D9">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一、说明</w:t>
      </w:r>
    </w:p>
    <w:p w14:paraId="5AC6E5C7">
      <w:pPr>
        <w:spacing w:line="360" w:lineRule="auto"/>
        <w:ind w:firstLine="480" w:firstLineChars="200"/>
        <w:rPr>
          <w:rFonts w:ascii="Times New Roman" w:hAnsi="Times New Roman" w:cs="宋体"/>
          <w:bCs/>
          <w:sz w:val="24"/>
        </w:rPr>
      </w:pPr>
      <w:r>
        <w:rPr>
          <w:rFonts w:hint="eastAsia" w:ascii="Times New Roman" w:hAnsi="Times New Roman" w:cs="宋体"/>
          <w:bCs/>
          <w:sz w:val="24"/>
        </w:rPr>
        <w:t>1、本竞争性磋商文件仅适用于宏信天德工程顾问有限公司组织的竞争性磋商采购活动。</w:t>
      </w:r>
    </w:p>
    <w:p w14:paraId="312AA7B2">
      <w:pPr>
        <w:spacing w:line="360" w:lineRule="auto"/>
        <w:ind w:firstLine="480" w:firstLineChars="200"/>
        <w:rPr>
          <w:rFonts w:ascii="Times New Roman" w:hAnsi="Times New Roman" w:cs="宋体"/>
          <w:bCs/>
          <w:sz w:val="24"/>
        </w:rPr>
      </w:pPr>
      <w:r>
        <w:rPr>
          <w:rFonts w:hint="eastAsia" w:ascii="Times New Roman" w:hAnsi="Times New Roman" w:cs="宋体"/>
          <w:bCs/>
          <w:sz w:val="24"/>
        </w:rPr>
        <w:t>2、竞争性磋商活动及因本次磋商产生的合同受中国法律制约和保护。</w:t>
      </w:r>
    </w:p>
    <w:p w14:paraId="43B892B3">
      <w:pPr>
        <w:spacing w:line="360" w:lineRule="auto"/>
        <w:ind w:firstLine="480" w:firstLineChars="200"/>
        <w:rPr>
          <w:rFonts w:ascii="Times New Roman" w:hAnsi="Times New Roman" w:cs="宋体"/>
          <w:bCs/>
          <w:sz w:val="24"/>
        </w:rPr>
      </w:pPr>
      <w:r>
        <w:rPr>
          <w:rFonts w:hint="eastAsia" w:ascii="Times New Roman" w:hAnsi="Times New Roman" w:cs="宋体"/>
          <w:bCs/>
          <w:sz w:val="24"/>
        </w:rPr>
        <w:t>3、竞争性磋商文件的解释权属于宏信天德工程顾问有限公司。</w:t>
      </w:r>
    </w:p>
    <w:p w14:paraId="4D988EEE">
      <w:pPr>
        <w:spacing w:line="360" w:lineRule="auto"/>
        <w:ind w:firstLine="480" w:firstLineChars="200"/>
        <w:rPr>
          <w:rFonts w:ascii="Times New Roman" w:hAnsi="Times New Roman" w:cs="宋体"/>
          <w:sz w:val="24"/>
        </w:rPr>
      </w:pPr>
      <w:r>
        <w:rPr>
          <w:rFonts w:hint="eastAsia" w:ascii="Times New Roman" w:hAnsi="Times New Roman" w:cs="宋体"/>
          <w:sz w:val="24"/>
        </w:rPr>
        <w:t>4、供应商下载磋商文件后，应仔细检查磋商文件的所有内容。如内容中有页码短缺、资格要求以及任何设置有不合理的条件对供应商实行差别待遇或者歧视待遇的，应在磋商文件发布后的5日内，以书面形式向本单位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cs="宋体"/>
          <w:b/>
          <w:sz w:val="24"/>
        </w:rPr>
        <w:t>非书面形式的不作为日后质疑提出的依据。</w:t>
      </w:r>
    </w:p>
    <w:p w14:paraId="7F55EA0A">
      <w:pPr>
        <w:spacing w:line="360" w:lineRule="auto"/>
        <w:ind w:firstLine="480" w:firstLineChars="200"/>
        <w:rPr>
          <w:rFonts w:ascii="Times New Roman" w:hAnsi="Times New Roman" w:cs="宋体"/>
          <w:sz w:val="24"/>
        </w:rPr>
      </w:pPr>
      <w:r>
        <w:rPr>
          <w:rFonts w:hint="eastAsia" w:ascii="Times New Roman" w:hAnsi="Times New Roman" w:cs="宋体"/>
          <w:sz w:val="24"/>
        </w:rPr>
        <w:t>5、供应商应认真审阅磋商文件中所有的事项、格式、条款和规范要求等，如果供应商没有按照磋商文件要求提交响应文件，或者响应文件没有对磋商文件做出实质性响应，将被拒绝参与项目的磋商。</w:t>
      </w:r>
    </w:p>
    <w:p w14:paraId="7AB26555">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二、磋商文件的澄清、修改、答疑</w:t>
      </w:r>
    </w:p>
    <w:p w14:paraId="42FE0CED">
      <w:pPr>
        <w:spacing w:line="360" w:lineRule="auto"/>
        <w:ind w:firstLine="480" w:firstLineChars="200"/>
        <w:rPr>
          <w:rFonts w:ascii="Times New Roman" w:hAnsi="Times New Roman" w:cs="宋体"/>
          <w:bCs/>
          <w:sz w:val="24"/>
        </w:rPr>
      </w:pPr>
      <w:r>
        <w:rPr>
          <w:rFonts w:hint="eastAsia" w:ascii="Times New Roman" w:hAnsi="Times New Roman" w:cs="宋体"/>
          <w:bCs/>
          <w:sz w:val="24"/>
        </w:rPr>
        <w:t>1、本单位有权对发出的磋商文件进行必要的澄清、修改或补充。</w:t>
      </w:r>
    </w:p>
    <w:p w14:paraId="504E002A">
      <w:pPr>
        <w:spacing w:line="360" w:lineRule="auto"/>
        <w:ind w:firstLine="480" w:firstLineChars="200"/>
        <w:rPr>
          <w:rFonts w:ascii="Times New Roman" w:hAnsi="Times New Roman" w:cs="宋体"/>
          <w:bCs/>
          <w:sz w:val="24"/>
        </w:rPr>
      </w:pPr>
      <w:r>
        <w:rPr>
          <w:rFonts w:hint="eastAsia" w:ascii="Times New Roman" w:hAnsi="Times New Roman" w:cs="宋体"/>
          <w:bCs/>
          <w:sz w:val="24"/>
        </w:rPr>
        <w:t>2、磋商文件的澄清、修改、补充等内容均以书面明确的形式发布，并以本公告发布网站发布的信息为准。</w:t>
      </w:r>
    </w:p>
    <w:p w14:paraId="4812205A">
      <w:pPr>
        <w:spacing w:line="360" w:lineRule="auto"/>
        <w:ind w:firstLine="480" w:firstLineChars="200"/>
        <w:rPr>
          <w:rFonts w:ascii="Times New Roman" w:hAnsi="Times New Roman" w:cs="宋体"/>
          <w:bCs/>
          <w:sz w:val="24"/>
        </w:rPr>
      </w:pPr>
      <w:r>
        <w:rPr>
          <w:rFonts w:hint="eastAsia" w:ascii="Times New Roman" w:hAnsi="Times New Roman" w:cs="宋体"/>
          <w:bCs/>
          <w:sz w:val="24"/>
        </w:rPr>
        <w:t>3、本单位对磋商文件的澄清、修改将构成磋商文件的一部分，对响应磋商的供应商具有约束力。</w:t>
      </w:r>
    </w:p>
    <w:p w14:paraId="699B6714">
      <w:pPr>
        <w:spacing w:line="360" w:lineRule="auto"/>
        <w:ind w:firstLine="480" w:firstLineChars="200"/>
        <w:rPr>
          <w:rFonts w:ascii="Times New Roman" w:hAnsi="Times New Roman" w:cs="宋体"/>
          <w:bCs/>
          <w:sz w:val="24"/>
        </w:rPr>
      </w:pPr>
      <w:r>
        <w:rPr>
          <w:rFonts w:hint="eastAsia" w:ascii="Times New Roman" w:hAnsi="Times New Roman" w:cs="宋体"/>
          <w:bCs/>
          <w:sz w:val="24"/>
        </w:rPr>
        <w:t>4、澄清或者修改的内容可能影响到响应文件编制的，本单位将在提交响应文件接收截止之日5日前，发布澄清或者修改公告，不足5日的，当顺延提交响应文件接收截止时间。</w:t>
      </w:r>
    </w:p>
    <w:p w14:paraId="20B9A821">
      <w:pPr>
        <w:spacing w:line="360" w:lineRule="auto"/>
        <w:ind w:firstLine="480" w:firstLineChars="200"/>
        <w:rPr>
          <w:rFonts w:ascii="Times New Roman" w:hAnsi="Times New Roman" w:cs="宋体"/>
          <w:bCs/>
          <w:sz w:val="24"/>
        </w:rPr>
      </w:pPr>
      <w:r>
        <w:rPr>
          <w:rFonts w:hint="eastAsia" w:ascii="Times New Roman" w:hAnsi="Times New Roman" w:cs="宋体"/>
          <w:bCs/>
          <w:sz w:val="24"/>
        </w:rPr>
        <w:t>5、除非本单位以书面的形式对磋商文件作出澄清、修改及补充，供应商对涉及磋商文件的任何推论、理解和结论所造成的结果，均由供应商自负。</w:t>
      </w:r>
    </w:p>
    <w:p w14:paraId="1A06D49D">
      <w:pPr>
        <w:spacing w:line="360" w:lineRule="auto"/>
        <w:ind w:firstLine="480" w:firstLineChars="200"/>
        <w:rPr>
          <w:rFonts w:ascii="Times New Roman" w:hAnsi="Times New Roman" w:cs="宋体"/>
          <w:bCs/>
          <w:sz w:val="24"/>
        </w:rPr>
      </w:pPr>
      <w:r>
        <w:rPr>
          <w:rFonts w:hint="eastAsia" w:ascii="Times New Roman" w:hAnsi="Times New Roman" w:cs="宋体"/>
          <w:bCs/>
          <w:sz w:val="24"/>
        </w:rPr>
        <w:t>6、采购单位视情组织答疑会。如有产生答疑且对磋商文件内容有修改，本单位将按照本须知有关规定，以补充通知（公告）的方式发出。</w:t>
      </w:r>
    </w:p>
    <w:p w14:paraId="2DDD6343">
      <w:pPr>
        <w:autoSpaceDE w:val="0"/>
        <w:autoSpaceDN w:val="0"/>
        <w:adjustRightInd w:val="0"/>
        <w:spacing w:line="360" w:lineRule="auto"/>
        <w:ind w:firstLine="482" w:firstLineChars="200"/>
        <w:contextualSpacing/>
        <w:rPr>
          <w:b/>
          <w:bCs/>
          <w:sz w:val="24"/>
        </w:rPr>
      </w:pPr>
      <w:r>
        <w:rPr>
          <w:rFonts w:hint="eastAsia"/>
          <w:b/>
          <w:bCs/>
          <w:sz w:val="24"/>
        </w:rPr>
        <w:t>三</w:t>
      </w:r>
      <w:r>
        <w:rPr>
          <w:b/>
          <w:bCs/>
          <w:sz w:val="24"/>
        </w:rPr>
        <w:t>、响应文件的组成及装订</w:t>
      </w:r>
      <w:r>
        <w:rPr>
          <w:rFonts w:hint="eastAsia"/>
          <w:b/>
          <w:bCs/>
          <w:sz w:val="24"/>
        </w:rPr>
        <w:t>、密封</w:t>
      </w:r>
    </w:p>
    <w:p w14:paraId="38F34C75">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1.响应文件的组成（分为纸质响应文件、电子响应文件）</w:t>
      </w:r>
    </w:p>
    <w:p w14:paraId="167441ED">
      <w:pPr>
        <w:adjustRightInd w:val="0"/>
        <w:snapToGrid w:val="0"/>
        <w:spacing w:line="360" w:lineRule="auto"/>
        <w:ind w:firstLine="482" w:firstLineChars="200"/>
        <w:rPr>
          <w:rFonts w:ascii="宋体" w:hAnsi="宋体" w:cs="宋体"/>
          <w:kern w:val="0"/>
          <w:sz w:val="24"/>
        </w:rPr>
      </w:pPr>
      <w:r>
        <w:rPr>
          <w:rFonts w:hint="eastAsia" w:ascii="宋体" w:hAnsi="宋体" w:cs="宋体"/>
          <w:b/>
          <w:bCs/>
          <w:kern w:val="0"/>
          <w:sz w:val="24"/>
        </w:rPr>
        <w:t>1.1纸质响应文件分“资格审查文件”、“技术标文件”、“商务标文件”三部分内容。</w:t>
      </w:r>
      <w:r>
        <w:rPr>
          <w:rFonts w:hint="eastAsia" w:ascii="宋体" w:hAnsi="宋体" w:cs="宋体"/>
          <w:kern w:val="0"/>
          <w:sz w:val="24"/>
        </w:rPr>
        <w:t>每一部分内容均须提供“一份正本、两份副本”纸质响应文件，须分别单独牢固装订，不得相互混淆，文件自编目录并连续标注页码，不得将内容拆开。商务标文件不得出现于资格审查文件和技术标文件中。</w:t>
      </w:r>
    </w:p>
    <w:p w14:paraId="673B575D">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1.1.1纸质响应文件分三个密封袋（箱）提交。其中：</w:t>
      </w:r>
    </w:p>
    <w:p w14:paraId="13764A6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资格审查文件的正、副本纸质响应文件密封在一个单独的密封袋内；</w:t>
      </w:r>
    </w:p>
    <w:p w14:paraId="68EACA0B">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技术标文件的正、副本纸质响应文件及图纸类（如需提供图纸等其他资料的话）等密封在一个单独的密封袋或密封箱内（如有A3大小的图纸类，可单独密封）；</w:t>
      </w:r>
    </w:p>
    <w:p w14:paraId="694F053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商务标文件的正、副本纸质响应文件密封在一个单独的密封袋内。</w:t>
      </w:r>
    </w:p>
    <w:p w14:paraId="141798F6">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1.1.2纸质响应文件须采用A4纸（图纸等除外），正、副本须打印并由法定代表人或授权人签字并加盖单位印章。文件内容中不得行间插字、涂改、增删，如修补错漏处，须由响应文件签署人签字并加盖公章。</w:t>
      </w:r>
    </w:p>
    <w:p w14:paraId="465954D0">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注：凡是响应文件中涉及响应人资信认证、人员证书、业绩荣誉等复印件，和要求法定代表人或授权委托人签字，和以响应人名称落款并注明需要盖章的，均需相应盖章或签字。否则视为未按照采购文件要求盖章或签字。</w:t>
      </w:r>
    </w:p>
    <w:p w14:paraId="25C3F656">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1.2电子响应文件（一份，单独密封提交）</w:t>
      </w:r>
    </w:p>
    <w:p w14:paraId="39B466C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要求提供电子响应文件一份，电子响应文件的内容为“资格审查文件”、“技术标文件”、“商务标文件”打印盖章（或电子签章）后的响应文件的扫描件（“资格审查文件”、“技术标文件”、“商务标文件”需分别逐页连续扫描为三个独立的PDF文件），可以采取U盘方式提交，需单独密封提交。</w:t>
      </w:r>
    </w:p>
    <w:p w14:paraId="259E59FE">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电子响应文件内容应与提交的纸质响应文件内容一致。否则，由此产生的后果投标人自负。</w:t>
      </w:r>
    </w:p>
    <w:p w14:paraId="32EFB8BB">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1.3响应文件密封后应标明响应文件项目名称、项目编号、边缝处加盖单位骑缝章或骑缝签字等关键信息，</w:t>
      </w:r>
      <w:r>
        <w:rPr>
          <w:rFonts w:hint="eastAsia" w:ascii="宋体" w:hAnsi="宋体" w:cs="宋体"/>
          <w:b/>
          <w:bCs/>
          <w:kern w:val="0"/>
          <w:sz w:val="24"/>
        </w:rPr>
        <w:t>密封完好以不泄露响应文件内容为主要判断依据</w:t>
      </w:r>
      <w:r>
        <w:rPr>
          <w:rFonts w:hint="eastAsia" w:ascii="宋体" w:hAnsi="宋体" w:cs="宋体"/>
          <w:kern w:val="0"/>
          <w:sz w:val="24"/>
        </w:rPr>
        <w:t>。</w:t>
      </w:r>
    </w:p>
    <w:p w14:paraId="1721F23B">
      <w:pPr>
        <w:spacing w:line="360" w:lineRule="auto"/>
        <w:ind w:firstLine="494" w:firstLineChars="206"/>
        <w:outlineLvl w:val="1"/>
        <w:rPr>
          <w:rFonts w:ascii="宋体" w:hAnsi="宋体" w:cs="宋体"/>
          <w:kern w:val="0"/>
          <w:sz w:val="24"/>
        </w:rPr>
      </w:pPr>
      <w:r>
        <w:rPr>
          <w:rFonts w:hint="eastAsia" w:ascii="宋体" w:hAnsi="宋体" w:cs="宋体"/>
          <w:kern w:val="0"/>
          <w:sz w:val="24"/>
        </w:rPr>
        <w:t>1.4递交时间：响应人须在规定的响应文件接收截止时间前送达指定地点。响应人提交响应文件，即视为已响应参加采购活动。</w:t>
      </w:r>
    </w:p>
    <w:p w14:paraId="37145702">
      <w:pPr>
        <w:snapToGrid w:val="0"/>
        <w:spacing w:line="360" w:lineRule="auto"/>
        <w:ind w:firstLine="482" w:firstLineChars="200"/>
        <w:outlineLvl w:val="0"/>
        <w:rPr>
          <w:rFonts w:ascii="Times New Roman" w:hAnsi="Times New Roman" w:cs="宋体"/>
          <w:b/>
          <w:bCs/>
          <w:sz w:val="24"/>
        </w:rPr>
      </w:pPr>
      <w:r>
        <w:rPr>
          <w:rFonts w:hint="eastAsia" w:ascii="Times New Roman" w:hAnsi="Times New Roman" w:cs="宋体"/>
          <w:b/>
          <w:bCs/>
          <w:sz w:val="24"/>
        </w:rPr>
        <w:t>四、磋商报价</w:t>
      </w:r>
    </w:p>
    <w:p w14:paraId="5A722D67">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1、本项目不接受任何有选择的报价。</w:t>
      </w:r>
    </w:p>
    <w:p w14:paraId="47E1ADE0">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2、磋商报价均以人民币为报价的币种。</w:t>
      </w:r>
    </w:p>
    <w:p w14:paraId="4625FEB4">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3、磋商报价表必须加盖单位公章且必须经法定代表人或被授权人签字或盖章。报价表中的大写金额与小写金额、总价金额与按单价汇总金额，若有差异，将执行《政府采购货物和服务招标投标管理办法》第41条的规定。</w:t>
      </w:r>
    </w:p>
    <w:p w14:paraId="40F2D2CF">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4、供应商应按本竞争性磋商文件内项目需求的全部采购内容计算总价。</w:t>
      </w:r>
    </w:p>
    <w:p w14:paraId="2A5B0EEF">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5、磋商报价的总价中应包含：差旅费、人员费、交通费、</w:t>
      </w:r>
      <w:r>
        <w:rPr>
          <w:rFonts w:hint="eastAsia" w:ascii="Times New Roman" w:hAnsi="Times New Roman" w:cs="宋体"/>
          <w:sz w:val="24"/>
        </w:rPr>
        <w:t>加班费、技术支持与培训、</w:t>
      </w:r>
      <w:r>
        <w:rPr>
          <w:rFonts w:hint="eastAsia" w:ascii="Times New Roman" w:hAnsi="Times New Roman" w:cs="宋体"/>
          <w:bCs/>
          <w:sz w:val="24"/>
        </w:rPr>
        <w:t>食宿费、税金及相关劳务支出等工作所发生的全部费用以及投标人企业利润和政策性文件规定及合同包含的所有风险、责任，即响应磋商项目服务中的全部工作量和服务及完成本项目工作所需的一切费用。</w:t>
      </w:r>
    </w:p>
    <w:p w14:paraId="09FE517B">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6、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5EFE7E3F">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7、竞争性磋商的最终报价为成交价。同时，供应商的最终成交价在合同实施期间不因市场变化因素而变动。</w:t>
      </w:r>
    </w:p>
    <w:p w14:paraId="2797BE10">
      <w:pPr>
        <w:snapToGrid w:val="0"/>
        <w:spacing w:line="360" w:lineRule="auto"/>
        <w:ind w:firstLine="482" w:firstLineChars="200"/>
        <w:rPr>
          <w:rFonts w:ascii="Times New Roman" w:hAnsi="Times New Roman" w:cs="宋体"/>
          <w:b/>
          <w:bCs/>
          <w:sz w:val="24"/>
        </w:rPr>
      </w:pPr>
      <w:r>
        <w:rPr>
          <w:rFonts w:hint="eastAsia" w:ascii="Times New Roman" w:hAnsi="Times New Roman" w:cs="宋体"/>
          <w:b/>
          <w:bCs/>
          <w:sz w:val="24"/>
        </w:rPr>
        <w:t>五、</w:t>
      </w:r>
      <w:r>
        <w:rPr>
          <w:rFonts w:ascii="Times New Roman" w:hAnsi="Times New Roman" w:cs="宋体"/>
          <w:b/>
          <w:bCs/>
          <w:sz w:val="24"/>
        </w:rPr>
        <w:t>本项目付款方式</w:t>
      </w:r>
    </w:p>
    <w:p w14:paraId="661E6C9E">
      <w:pPr>
        <w:snapToGrid w:val="0"/>
        <w:spacing w:line="360" w:lineRule="auto"/>
        <w:ind w:firstLine="480" w:firstLineChars="200"/>
        <w:rPr>
          <w:rFonts w:ascii="Times New Roman" w:hAnsi="Times New Roman" w:cs="宋体"/>
          <w:bCs/>
          <w:sz w:val="24"/>
        </w:rPr>
      </w:pPr>
      <w:r>
        <w:rPr>
          <w:rFonts w:hint="eastAsia" w:ascii="宋体" w:hAnsi="宋体" w:cs="宋体"/>
          <w:sz w:val="24"/>
          <w:shd w:val="clear" w:color="auto" w:fill="FFFFFF"/>
        </w:rPr>
        <w:t>合同期内法律顾问费每半年支付50%，单件计费项目每半年据实支付一次。服务供应商须提供符合税法规定的发票</w:t>
      </w:r>
      <w:r>
        <w:rPr>
          <w:rFonts w:hint="eastAsia" w:ascii="Times New Roman" w:hAnsi="Times New Roman" w:cs="宋体"/>
          <w:bCs/>
          <w:sz w:val="24"/>
        </w:rPr>
        <w:t>。</w:t>
      </w:r>
    </w:p>
    <w:p w14:paraId="04D14939">
      <w:pPr>
        <w:snapToGrid w:val="0"/>
        <w:spacing w:line="360" w:lineRule="auto"/>
        <w:ind w:firstLine="482" w:firstLineChars="200"/>
        <w:rPr>
          <w:rFonts w:ascii="Times New Roman" w:hAnsi="Times New Roman" w:cs="宋体"/>
          <w:sz w:val="24"/>
        </w:rPr>
      </w:pPr>
      <w:r>
        <w:rPr>
          <w:rFonts w:hint="eastAsia" w:ascii="Times New Roman" w:hAnsi="宋体" w:cs="宋体"/>
          <w:b/>
          <w:bCs/>
          <w:sz w:val="24"/>
        </w:rPr>
        <w:t>六、响应文件及</w:t>
      </w:r>
      <w:r>
        <w:rPr>
          <w:rFonts w:hint="eastAsia" w:ascii="Times New Roman" w:hAnsi="宋体" w:cs="宋体"/>
          <w:b/>
          <w:kern w:val="0"/>
          <w:sz w:val="24"/>
        </w:rPr>
        <w:t>磋商</w:t>
      </w:r>
      <w:r>
        <w:rPr>
          <w:rFonts w:hint="eastAsia" w:ascii="Times New Roman" w:hAnsi="宋体" w:cs="宋体"/>
          <w:b/>
          <w:bCs/>
          <w:sz w:val="24"/>
        </w:rPr>
        <w:t>费用</w:t>
      </w:r>
    </w:p>
    <w:p w14:paraId="1889ECE1">
      <w:pPr>
        <w:snapToGrid w:val="0"/>
        <w:spacing w:line="360" w:lineRule="auto"/>
        <w:ind w:firstLine="480" w:firstLineChars="200"/>
        <w:outlineLvl w:val="0"/>
        <w:rPr>
          <w:rFonts w:ascii="Times New Roman" w:hAnsi="Times New Roman" w:cs="宋体"/>
          <w:sz w:val="24"/>
        </w:rPr>
      </w:pPr>
      <w:r>
        <w:rPr>
          <w:rFonts w:hint="eastAsia" w:ascii="Times New Roman" w:hAnsi="Times New Roman" w:cs="宋体"/>
          <w:sz w:val="24"/>
        </w:rPr>
        <w:t>1</w:t>
      </w:r>
      <w:r>
        <w:rPr>
          <w:rFonts w:hint="eastAsia" w:ascii="Times New Roman" w:hAnsi="宋体" w:cs="宋体"/>
          <w:sz w:val="24"/>
        </w:rPr>
        <w:t>、磋商文件每套售价</w:t>
      </w:r>
      <w:r>
        <w:rPr>
          <w:rFonts w:hint="eastAsia" w:ascii="Times New Roman" w:hAnsi="Times New Roman" w:cs="宋体"/>
          <w:bCs/>
          <w:sz w:val="24"/>
        </w:rPr>
        <w:t>300</w:t>
      </w:r>
      <w:r>
        <w:rPr>
          <w:rFonts w:hint="eastAsia" w:ascii="Times New Roman" w:hAnsi="宋体" w:cs="宋体"/>
          <w:sz w:val="24"/>
        </w:rPr>
        <w:t>元，在报名的同时提交给招标代理机构。</w:t>
      </w:r>
    </w:p>
    <w:p w14:paraId="2D0C7758">
      <w:pPr>
        <w:adjustRightInd w:val="0"/>
        <w:snapToGrid w:val="0"/>
        <w:spacing w:line="360" w:lineRule="auto"/>
        <w:ind w:firstLine="480" w:firstLineChars="200"/>
        <w:jc w:val="left"/>
        <w:textAlignment w:val="baseline"/>
        <w:rPr>
          <w:rFonts w:ascii="Times New Roman" w:hAnsi="Times New Roman" w:cs="宋体"/>
          <w:sz w:val="24"/>
        </w:rPr>
      </w:pPr>
      <w:r>
        <w:rPr>
          <w:rFonts w:hint="eastAsia" w:ascii="Times New Roman" w:hAnsi="Times New Roman" w:cs="宋体"/>
          <w:sz w:val="24"/>
        </w:rPr>
        <w:t>2、本项目</w:t>
      </w:r>
      <w:r>
        <w:rPr>
          <w:rFonts w:hint="eastAsia" w:ascii="宋体" w:hAnsi="宋体" w:cs="宋体"/>
          <w:snapToGrid w:val="0"/>
          <w:kern w:val="0"/>
          <w:sz w:val="24"/>
        </w:rPr>
        <w:t>采购代理服务费</w:t>
      </w:r>
      <w:r>
        <w:rPr>
          <w:rFonts w:hint="eastAsia" w:ascii="Times New Roman" w:hAnsi="Times New Roman" w:cs="宋体"/>
          <w:bCs/>
          <w:sz w:val="24"/>
        </w:rPr>
        <w:t>1000元，</w:t>
      </w:r>
      <w:r>
        <w:rPr>
          <w:rFonts w:hint="eastAsia" w:ascii="宋体" w:hAnsi="宋体" w:cs="宋体"/>
          <w:snapToGrid w:val="0"/>
          <w:kern w:val="0"/>
          <w:sz w:val="24"/>
        </w:rPr>
        <w:t>由成交供应商支付。无论何种情况，本项目采购代理服务等费用不予退还。评委费据实支付</w:t>
      </w:r>
      <w:r>
        <w:rPr>
          <w:rFonts w:hint="eastAsia" w:ascii="Times New Roman" w:hAnsi="Times New Roman" w:cs="宋体"/>
          <w:sz w:val="24"/>
        </w:rPr>
        <w:t>。</w:t>
      </w:r>
    </w:p>
    <w:p w14:paraId="37327DED">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3、磋商程序顺利进行后，除供应商的原件可退回外，其余所有的响应文件都将作为档案保存，不论成交与否，代理机构均不退回。</w:t>
      </w:r>
    </w:p>
    <w:p w14:paraId="50C5B1D9">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4、无论磋商过程和结果如何，参加项目磋商的供应商自行承担与本次项目磋商有关的全部费用。</w:t>
      </w:r>
    </w:p>
    <w:p w14:paraId="447961FB">
      <w:pPr>
        <w:snapToGrid w:val="0"/>
        <w:spacing w:line="360" w:lineRule="auto"/>
        <w:ind w:firstLine="482" w:firstLineChars="200"/>
        <w:outlineLvl w:val="0"/>
        <w:rPr>
          <w:rFonts w:ascii="Times New Roman" w:hAnsi="Times New Roman" w:cs="宋体"/>
          <w:b/>
          <w:bCs/>
          <w:sz w:val="24"/>
        </w:rPr>
      </w:pPr>
      <w:r>
        <w:rPr>
          <w:rFonts w:hint="eastAsia" w:ascii="Times New Roman" w:hAnsi="Times New Roman" w:cs="宋体"/>
          <w:b/>
          <w:bCs/>
          <w:sz w:val="24"/>
        </w:rPr>
        <w:t>七、其他内容</w:t>
      </w:r>
    </w:p>
    <w:p w14:paraId="20A27F05">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1、投标供应商须在响应文件递交之日前对有关现场和周围环境进行勘察，勘察现场所发生的费用由投标供应商自己承担。</w:t>
      </w:r>
    </w:p>
    <w:p w14:paraId="12297555">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2、采购人向投标供应商提供的有关现场的资料和数据，是采购人现有的并认为能使投标供应商可利用的资料。采购人对投标供应商由此而做出的推论、理解和结论概不负责。投标供应商可为勘察目的进入采购人的项目现场，但投标供应商不得因此使采购人承担有关的责任和蒙受损失。投标供应商应承担勘察现场的责任和风险。</w:t>
      </w:r>
    </w:p>
    <w:p w14:paraId="604F4543">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3、投标供应商应认真踏勘现场。在现场勘察时，熟悉现场及周围交通道路等情况，以获得一切可能影响其投标的直接资料。投标供应商中标后，不得以不完全了解现场情况为理由而向采购人提出任何索赔的要求，对此采购人不承担任何责任并将不作任何答复与考虑。</w:t>
      </w:r>
    </w:p>
    <w:p w14:paraId="08170B73">
      <w:pPr>
        <w:snapToGrid w:val="0"/>
        <w:spacing w:line="360" w:lineRule="auto"/>
        <w:ind w:firstLine="480" w:firstLineChars="200"/>
        <w:outlineLvl w:val="0"/>
        <w:rPr>
          <w:rFonts w:ascii="Times New Roman" w:hAnsi="Times New Roman" w:cs="宋体"/>
          <w:bCs/>
          <w:sz w:val="24"/>
        </w:rPr>
      </w:pPr>
      <w:r>
        <w:rPr>
          <w:rFonts w:hint="eastAsia" w:ascii="Times New Roman" w:hAnsi="Times New Roman" w:cs="宋体"/>
          <w:bCs/>
          <w:sz w:val="24"/>
        </w:rPr>
        <w:t>4、投标供应商由于对磋商文件的任何推论和误解以及采购单位、采购代理机构对有关问题的口头解释所造成的后果，均由投标供应商自负。</w:t>
      </w:r>
    </w:p>
    <w:p w14:paraId="2E05F8B1">
      <w:pPr>
        <w:adjustRightInd w:val="0"/>
        <w:snapToGrid w:val="0"/>
        <w:spacing w:line="360" w:lineRule="auto"/>
        <w:ind w:firstLine="482" w:firstLineChars="200"/>
        <w:jc w:val="left"/>
        <w:textAlignment w:val="baseline"/>
        <w:rPr>
          <w:rFonts w:ascii="宋体" w:hAnsi="宋体" w:cs="宋体"/>
          <w:b/>
          <w:bCs/>
          <w:snapToGrid w:val="0"/>
          <w:kern w:val="0"/>
          <w:sz w:val="24"/>
        </w:rPr>
      </w:pPr>
      <w:r>
        <w:rPr>
          <w:rFonts w:hint="eastAsia" w:ascii="宋体" w:hAnsi="宋体" w:cs="宋体"/>
          <w:b/>
          <w:snapToGrid w:val="0"/>
          <w:kern w:val="0"/>
          <w:sz w:val="24"/>
        </w:rPr>
        <w:t>八、</w:t>
      </w:r>
      <w:r>
        <w:rPr>
          <w:rFonts w:hint="eastAsia" w:ascii="宋体" w:hAnsi="宋体" w:cs="宋体"/>
          <w:b/>
          <w:bCs/>
          <w:snapToGrid w:val="0"/>
          <w:kern w:val="0"/>
          <w:sz w:val="24"/>
        </w:rPr>
        <w:t>磋商响应文件的有效期</w:t>
      </w:r>
    </w:p>
    <w:p w14:paraId="6BC76E86">
      <w:pPr>
        <w:adjustRightInd w:val="0"/>
        <w:snapToGrid w:val="0"/>
        <w:spacing w:line="360" w:lineRule="auto"/>
        <w:ind w:firstLine="480" w:firstLineChars="200"/>
        <w:jc w:val="left"/>
        <w:textAlignment w:val="baseline"/>
        <w:rPr>
          <w:rFonts w:ascii="宋体" w:hAnsi="宋体" w:cs="宋体"/>
          <w:bCs/>
          <w:snapToGrid w:val="0"/>
          <w:kern w:val="0"/>
          <w:sz w:val="24"/>
        </w:rPr>
      </w:pPr>
      <w:r>
        <w:rPr>
          <w:rFonts w:hint="eastAsia" w:ascii="宋体" w:hAnsi="宋体" w:cs="宋体"/>
          <w:bCs/>
          <w:snapToGrid w:val="0"/>
          <w:kern w:val="0"/>
          <w:sz w:val="24"/>
        </w:rPr>
        <w:t>1、从磋商响应文件接收截止之日算起，45个“日历天”内响应文件应保持有效。有效期短于这个规定期限的磋商，将被拒绝。</w:t>
      </w:r>
    </w:p>
    <w:p w14:paraId="61842884">
      <w:pPr>
        <w:adjustRightInd w:val="0"/>
        <w:snapToGrid w:val="0"/>
        <w:spacing w:line="360" w:lineRule="auto"/>
        <w:ind w:firstLine="480" w:firstLineChars="200"/>
        <w:jc w:val="left"/>
        <w:textAlignment w:val="baseline"/>
      </w:pPr>
      <w:r>
        <w:rPr>
          <w:rFonts w:hint="eastAsia" w:ascii="宋体" w:hAnsi="宋体" w:cs="宋体"/>
          <w:bCs/>
          <w:snapToGrid w:val="0"/>
          <w:kern w:val="0"/>
          <w:sz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14:paraId="1ECA4356">
      <w:pPr>
        <w:snapToGrid w:val="0"/>
        <w:spacing w:line="360" w:lineRule="auto"/>
        <w:ind w:firstLine="482" w:firstLineChars="200"/>
        <w:outlineLvl w:val="0"/>
        <w:rPr>
          <w:rFonts w:ascii="Times New Roman" w:hAnsi="Times New Roman" w:cs="宋体"/>
          <w:b/>
          <w:sz w:val="24"/>
        </w:rPr>
      </w:pPr>
      <w:r>
        <w:rPr>
          <w:rFonts w:hint="eastAsia" w:ascii="Times New Roman" w:hAnsi="Times New Roman" w:cs="宋体"/>
          <w:b/>
          <w:bCs/>
          <w:sz w:val="24"/>
        </w:rPr>
        <w:t>九、未尽事宜</w:t>
      </w:r>
    </w:p>
    <w:p w14:paraId="1D7A6977">
      <w:pPr>
        <w:snapToGrid w:val="0"/>
        <w:spacing w:line="360" w:lineRule="auto"/>
        <w:ind w:firstLine="480" w:firstLineChars="200"/>
        <w:outlineLvl w:val="0"/>
        <w:rPr>
          <w:rFonts w:ascii="Times New Roman" w:hAnsi="Times New Roman" w:cs="宋体"/>
          <w:b/>
          <w:bCs/>
          <w:sz w:val="24"/>
          <w:lang w:val="zh-CN"/>
        </w:rPr>
      </w:pPr>
      <w:r>
        <w:rPr>
          <w:rFonts w:hint="eastAsia" w:ascii="Times New Roman" w:hAnsi="Times New Roman" w:cs="宋体"/>
          <w:sz w:val="24"/>
        </w:rPr>
        <w:t>按</w:t>
      </w:r>
      <w:r>
        <w:rPr>
          <w:rFonts w:hint="eastAsia" w:ascii="Times New Roman" w:hAnsi="Times New Roman" w:cs="宋体"/>
          <w:bCs/>
          <w:sz w:val="24"/>
        </w:rPr>
        <w:t>《中华人民共和国政府采购法》</w:t>
      </w:r>
      <w:r>
        <w:rPr>
          <w:rFonts w:hint="eastAsia" w:ascii="Times New Roman" w:hAnsi="Times New Roman" w:cs="宋体"/>
          <w:sz w:val="24"/>
        </w:rPr>
        <w:t>、《政府采购竞争性磋商采购方式管理暂行办法》及其他有关法律法规的规定执行。</w:t>
      </w:r>
      <w:r>
        <w:rPr>
          <w:rFonts w:hint="eastAsia" w:ascii="Times New Roman" w:hAnsi="Times New Roman" w:cs="宋体"/>
          <w:b/>
          <w:bCs/>
          <w:sz w:val="24"/>
          <w:lang w:val="zh-CN"/>
        </w:rPr>
        <w:br w:type="page"/>
      </w:r>
    </w:p>
    <w:p w14:paraId="15F2F9F2">
      <w:pPr>
        <w:spacing w:line="720" w:lineRule="auto"/>
        <w:ind w:firstLine="883" w:firstLineChars="200"/>
        <w:jc w:val="center"/>
        <w:rPr>
          <w:rFonts w:ascii="Times New Roman" w:hAnsi="Times New Roman" w:cs="方正小标宋简体"/>
          <w:b/>
          <w:sz w:val="44"/>
          <w:szCs w:val="44"/>
          <w:lang w:val="zh-CN"/>
        </w:rPr>
      </w:pPr>
      <w:r>
        <w:rPr>
          <w:rFonts w:hint="eastAsia" w:ascii="Times New Roman" w:hAnsi="Times New Roman" w:cs="方正小标宋简体"/>
          <w:b/>
          <w:sz w:val="44"/>
          <w:szCs w:val="44"/>
          <w:lang w:val="zh-CN"/>
        </w:rPr>
        <w:t>第三章 项目需求</w:t>
      </w:r>
    </w:p>
    <w:p w14:paraId="092498B1">
      <w:pPr>
        <w:spacing w:line="360" w:lineRule="auto"/>
        <w:ind w:firstLine="482" w:firstLineChars="200"/>
        <w:rPr>
          <w:rFonts w:ascii="Times New Roman" w:hAnsi="仿宋"/>
          <w:b/>
          <w:sz w:val="24"/>
        </w:rPr>
      </w:pPr>
      <w:r>
        <w:rPr>
          <w:rFonts w:hint="eastAsia" w:ascii="Times New Roman" w:hAnsi="仿宋"/>
          <w:b/>
          <w:sz w:val="24"/>
        </w:rPr>
        <w:t>一、项目服务条件：</w:t>
      </w:r>
    </w:p>
    <w:p w14:paraId="3DA7D5AA">
      <w:pPr>
        <w:spacing w:line="360" w:lineRule="auto"/>
        <w:ind w:firstLine="480" w:firstLineChars="200"/>
        <w:rPr>
          <w:sz w:val="24"/>
        </w:rPr>
      </w:pPr>
      <w:r>
        <w:rPr>
          <w:sz w:val="24"/>
        </w:rPr>
        <w:t>（一）律师事务所</w:t>
      </w:r>
    </w:p>
    <w:p w14:paraId="33DF686E">
      <w:pPr>
        <w:spacing w:line="360" w:lineRule="auto"/>
        <w:ind w:firstLine="480" w:firstLineChars="200"/>
        <w:rPr>
          <w:rFonts w:ascii="Times New Roman" w:hAnsi="仿宋"/>
          <w:bCs/>
          <w:sz w:val="24"/>
        </w:rPr>
      </w:pPr>
      <w:r>
        <w:rPr>
          <w:rFonts w:ascii="Times New Roman" w:hAnsi="仿宋"/>
          <w:bCs/>
          <w:sz w:val="24"/>
        </w:rPr>
        <w:t>1. 律师事务所住所地在</w:t>
      </w:r>
      <w:r>
        <w:rPr>
          <w:rFonts w:hint="eastAsia" w:ascii="Times New Roman" w:hAnsi="仿宋"/>
          <w:bCs/>
          <w:sz w:val="24"/>
        </w:rPr>
        <w:t>南通</w:t>
      </w:r>
      <w:r>
        <w:rPr>
          <w:rFonts w:ascii="Times New Roman" w:hAnsi="仿宋"/>
          <w:bCs/>
          <w:sz w:val="24"/>
        </w:rPr>
        <w:t>市区范围；</w:t>
      </w:r>
    </w:p>
    <w:p w14:paraId="3C20DD99">
      <w:pPr>
        <w:spacing w:line="360" w:lineRule="auto"/>
        <w:ind w:firstLine="480" w:firstLineChars="200"/>
        <w:rPr>
          <w:rFonts w:ascii="Times New Roman" w:hAnsi="仿宋"/>
          <w:bCs/>
          <w:sz w:val="24"/>
        </w:rPr>
      </w:pPr>
      <w:r>
        <w:rPr>
          <w:rFonts w:ascii="Times New Roman" w:hAnsi="仿宋"/>
          <w:bCs/>
          <w:sz w:val="24"/>
        </w:rPr>
        <w:t>2. 能够组建相对固定且不少于3人的律师团队，以保证法律服务的质量；</w:t>
      </w:r>
    </w:p>
    <w:p w14:paraId="5B320730">
      <w:pPr>
        <w:spacing w:line="360" w:lineRule="auto"/>
        <w:ind w:firstLine="480" w:firstLineChars="200"/>
        <w:rPr>
          <w:rFonts w:ascii="Times New Roman" w:hAnsi="仿宋"/>
          <w:bCs/>
          <w:sz w:val="24"/>
        </w:rPr>
      </w:pPr>
      <w:r>
        <w:rPr>
          <w:rFonts w:ascii="Times New Roman" w:hAnsi="仿宋"/>
          <w:bCs/>
          <w:sz w:val="24"/>
        </w:rPr>
        <w:t>3. 律师事务所及</w:t>
      </w:r>
      <w:r>
        <w:rPr>
          <w:rFonts w:hint="eastAsia" w:ascii="Times New Roman" w:hAnsi="仿宋"/>
          <w:bCs/>
          <w:sz w:val="24"/>
        </w:rPr>
        <w:t>拟派本项目的律师团队</w:t>
      </w:r>
      <w:r>
        <w:rPr>
          <w:rFonts w:ascii="Times New Roman" w:hAnsi="仿宋"/>
          <w:bCs/>
          <w:sz w:val="24"/>
        </w:rPr>
        <w:t>近5年内未受过司法行政部门处罚及行业协会纪律处分。</w:t>
      </w:r>
    </w:p>
    <w:p w14:paraId="268FDAB0">
      <w:pPr>
        <w:spacing w:line="360" w:lineRule="auto"/>
        <w:ind w:firstLine="480" w:firstLineChars="200"/>
        <w:rPr>
          <w:rFonts w:ascii="Times New Roman" w:hAnsi="仿宋"/>
          <w:bCs/>
          <w:sz w:val="24"/>
        </w:rPr>
      </w:pPr>
      <w:r>
        <w:rPr>
          <w:rFonts w:ascii="Times New Roman" w:hAnsi="仿宋"/>
          <w:bCs/>
          <w:sz w:val="24"/>
        </w:rPr>
        <w:t>（二）律师</w:t>
      </w:r>
    </w:p>
    <w:p w14:paraId="54111BE0">
      <w:pPr>
        <w:spacing w:line="360" w:lineRule="auto"/>
        <w:ind w:firstLine="480" w:firstLineChars="200"/>
        <w:rPr>
          <w:rFonts w:ascii="Times New Roman" w:hAnsi="仿宋"/>
          <w:b/>
          <w:sz w:val="24"/>
        </w:rPr>
      </w:pPr>
      <w:r>
        <w:rPr>
          <w:rFonts w:hint="eastAsia" w:ascii="Times New Roman" w:hAnsi="仿宋"/>
          <w:bCs/>
          <w:sz w:val="24"/>
        </w:rPr>
        <w:t>1</w:t>
      </w:r>
      <w:r>
        <w:rPr>
          <w:rFonts w:ascii="Times New Roman" w:hAnsi="仿宋"/>
          <w:bCs/>
          <w:sz w:val="24"/>
        </w:rPr>
        <w:t>. 政治素质高，拥护党的理论和路线方针政策，应当具有良好的社会责任感和勤勉尽责的职业素养，未受过刑事处罚。</w:t>
      </w:r>
    </w:p>
    <w:p w14:paraId="4867AAC2">
      <w:pPr>
        <w:spacing w:line="360" w:lineRule="auto"/>
        <w:ind w:firstLine="480" w:firstLineChars="200"/>
        <w:rPr>
          <w:rFonts w:ascii="Times New Roman" w:hAnsi="仿宋"/>
          <w:bCs/>
          <w:sz w:val="24"/>
        </w:rPr>
      </w:pPr>
      <w:r>
        <w:rPr>
          <w:rFonts w:hint="eastAsia" w:ascii="Times New Roman" w:hAnsi="仿宋"/>
          <w:bCs/>
          <w:sz w:val="24"/>
        </w:rPr>
        <w:t>2</w:t>
      </w:r>
      <w:r>
        <w:rPr>
          <w:rFonts w:ascii="Times New Roman" w:hAnsi="仿宋"/>
          <w:bCs/>
          <w:sz w:val="24"/>
        </w:rPr>
        <w:t>. 持有律师执业证且在年度检查考核中无不称职、基本称职的情况；</w:t>
      </w:r>
    </w:p>
    <w:p w14:paraId="77B0C5E2">
      <w:pPr>
        <w:spacing w:line="360" w:lineRule="auto"/>
        <w:ind w:firstLine="480"/>
        <w:rPr>
          <w:rFonts w:ascii="Times New Roman" w:hAnsi="仿宋"/>
          <w:bCs/>
          <w:sz w:val="24"/>
        </w:rPr>
      </w:pPr>
      <w:r>
        <w:rPr>
          <w:rFonts w:hint="eastAsia" w:ascii="Times New Roman" w:hAnsi="仿宋"/>
          <w:bCs/>
          <w:sz w:val="24"/>
        </w:rPr>
        <w:t>3</w:t>
      </w:r>
      <w:r>
        <w:rPr>
          <w:rFonts w:ascii="Times New Roman" w:hAnsi="仿宋"/>
          <w:bCs/>
          <w:sz w:val="24"/>
        </w:rPr>
        <w:t>. 主办律师应当具有较高的专业水平，熟悉政府行政工作。</w:t>
      </w:r>
    </w:p>
    <w:p w14:paraId="56FFD5B5">
      <w:pPr>
        <w:spacing w:line="360" w:lineRule="auto"/>
        <w:ind w:firstLine="482" w:firstLineChars="200"/>
        <w:rPr>
          <w:rFonts w:ascii="Times New Roman" w:hAnsi="仿宋"/>
          <w:b/>
          <w:sz w:val="24"/>
        </w:rPr>
      </w:pPr>
      <w:r>
        <w:rPr>
          <w:rFonts w:hint="eastAsia" w:ascii="Times New Roman" w:hAnsi="仿宋"/>
          <w:b/>
          <w:sz w:val="24"/>
        </w:rPr>
        <w:t>二、项目服务内容</w:t>
      </w:r>
    </w:p>
    <w:p w14:paraId="7A25B83E">
      <w:pPr>
        <w:spacing w:line="360" w:lineRule="auto"/>
        <w:ind w:firstLine="480" w:firstLineChars="200"/>
        <w:rPr>
          <w:rFonts w:ascii="Times New Roman" w:hAnsi="仿宋"/>
          <w:bCs/>
          <w:sz w:val="24"/>
        </w:rPr>
      </w:pPr>
      <w:r>
        <w:rPr>
          <w:rFonts w:hint="eastAsia" w:ascii="Times New Roman" w:hAnsi="仿宋"/>
          <w:bCs/>
          <w:sz w:val="24"/>
        </w:rPr>
        <w:t>担任南通市医疗保障局法律顾问，提供以下法律服务内容：</w:t>
      </w:r>
    </w:p>
    <w:p w14:paraId="6B4EDAD0">
      <w:pPr>
        <w:spacing w:line="360" w:lineRule="auto"/>
        <w:ind w:firstLine="480" w:firstLineChars="200"/>
        <w:rPr>
          <w:sz w:val="24"/>
        </w:rPr>
      </w:pPr>
      <w:r>
        <w:rPr>
          <w:sz w:val="24"/>
        </w:rPr>
        <w:t xml:space="preserve">1. </w:t>
      </w:r>
      <w:r>
        <w:rPr>
          <w:rFonts w:hint="eastAsia" w:ascii="Times New Roman" w:hAnsi="仿宋"/>
          <w:bCs/>
          <w:sz w:val="24"/>
        </w:rPr>
        <w:t>南通市医疗保障局</w:t>
      </w:r>
      <w:r>
        <w:rPr>
          <w:sz w:val="24"/>
        </w:rPr>
        <w:t>常见法律问题的咨询和建议，</w:t>
      </w:r>
      <w:r>
        <w:rPr>
          <w:rFonts w:hint="eastAsia"/>
          <w:sz w:val="24"/>
        </w:rPr>
        <w:t>根据要求</w:t>
      </w:r>
      <w:r>
        <w:rPr>
          <w:sz w:val="24"/>
        </w:rPr>
        <w:t>提供</w:t>
      </w:r>
      <w:r>
        <w:rPr>
          <w:rFonts w:hint="eastAsia"/>
          <w:sz w:val="24"/>
        </w:rPr>
        <w:t>口头意见或书</w:t>
      </w:r>
      <w:r>
        <w:rPr>
          <w:sz w:val="24"/>
        </w:rPr>
        <w:t>面</w:t>
      </w:r>
      <w:r>
        <w:rPr>
          <w:rFonts w:hint="eastAsia"/>
          <w:sz w:val="24"/>
        </w:rPr>
        <w:t>意见。</w:t>
      </w:r>
    </w:p>
    <w:p w14:paraId="56A5CA8D">
      <w:pPr>
        <w:spacing w:line="360" w:lineRule="auto"/>
        <w:ind w:firstLine="480" w:firstLineChars="200"/>
        <w:rPr>
          <w:sz w:val="24"/>
        </w:rPr>
      </w:pPr>
      <w:r>
        <w:rPr>
          <w:sz w:val="24"/>
        </w:rPr>
        <w:t>2. 参与起草、修订</w:t>
      </w:r>
      <w:r>
        <w:rPr>
          <w:rFonts w:hint="eastAsia" w:ascii="Times New Roman" w:hAnsi="仿宋"/>
          <w:bCs/>
          <w:sz w:val="24"/>
        </w:rPr>
        <w:t>南通市医疗保障局</w:t>
      </w:r>
      <w:r>
        <w:rPr>
          <w:sz w:val="24"/>
        </w:rPr>
        <w:t>人事管理、财务管理、劳动用工、合同管理等规章制度或法律性文书；</w:t>
      </w:r>
    </w:p>
    <w:p w14:paraId="5D2B4187">
      <w:pPr>
        <w:spacing w:line="360" w:lineRule="auto"/>
        <w:ind w:firstLine="480" w:firstLineChars="200"/>
        <w:rPr>
          <w:color w:val="auto"/>
          <w:sz w:val="24"/>
        </w:rPr>
      </w:pPr>
      <w:r>
        <w:rPr>
          <w:sz w:val="24"/>
        </w:rPr>
        <w:t>3. 参与合作项目的洽</w:t>
      </w:r>
      <w:r>
        <w:rPr>
          <w:color w:val="auto"/>
          <w:sz w:val="24"/>
        </w:rPr>
        <w:t>谈，协助起草、修改重要的法律文书或以</w:t>
      </w:r>
      <w:r>
        <w:rPr>
          <w:rFonts w:hint="eastAsia" w:ascii="Times New Roman" w:hAnsi="仿宋"/>
          <w:bCs/>
          <w:color w:val="auto"/>
          <w:sz w:val="24"/>
        </w:rPr>
        <w:t>南通市医疗保障局</w:t>
      </w:r>
      <w:r>
        <w:rPr>
          <w:color w:val="auto"/>
          <w:sz w:val="24"/>
        </w:rPr>
        <w:t>为一方当事人的重大合同；</w:t>
      </w:r>
    </w:p>
    <w:p w14:paraId="18396F65">
      <w:pPr>
        <w:spacing w:line="360" w:lineRule="auto"/>
        <w:ind w:firstLine="480" w:firstLineChars="200"/>
        <w:rPr>
          <w:sz w:val="24"/>
        </w:rPr>
      </w:pPr>
      <w:r>
        <w:rPr>
          <w:color w:val="auto"/>
          <w:sz w:val="24"/>
        </w:rPr>
        <w:t>4. 根据</w:t>
      </w:r>
      <w:r>
        <w:rPr>
          <w:rFonts w:hint="eastAsia" w:ascii="Times New Roman" w:hAnsi="仿宋"/>
          <w:bCs/>
          <w:color w:val="auto"/>
          <w:sz w:val="24"/>
        </w:rPr>
        <w:t>南通市医疗保障局</w:t>
      </w:r>
      <w:r>
        <w:rPr>
          <w:color w:val="auto"/>
          <w:sz w:val="24"/>
        </w:rPr>
        <w:t>要求，出席内部会议，并讨论与日常管理活动有关的法律问题，进行法律分析论证，为</w:t>
      </w:r>
      <w:r>
        <w:rPr>
          <w:rFonts w:hint="eastAsia" w:ascii="Times New Roman" w:hAnsi="仿宋"/>
          <w:bCs/>
          <w:sz w:val="24"/>
        </w:rPr>
        <w:t>南通市医疗保障局</w:t>
      </w:r>
      <w:r>
        <w:rPr>
          <w:sz w:val="24"/>
        </w:rPr>
        <w:t>内部决策提供咨询意见和法律依据；</w:t>
      </w:r>
    </w:p>
    <w:p w14:paraId="4F97ED3B">
      <w:pPr>
        <w:spacing w:line="360" w:lineRule="auto"/>
        <w:ind w:firstLine="480" w:firstLineChars="200"/>
        <w:rPr>
          <w:sz w:val="24"/>
        </w:rPr>
      </w:pPr>
      <w:r>
        <w:rPr>
          <w:sz w:val="24"/>
        </w:rPr>
        <w:t>5. 对</w:t>
      </w:r>
      <w:r>
        <w:rPr>
          <w:rFonts w:hint="eastAsia" w:ascii="Times New Roman" w:hAnsi="仿宋"/>
          <w:bCs/>
          <w:sz w:val="24"/>
        </w:rPr>
        <w:t>南通市医疗保障局</w:t>
      </w:r>
      <w:r>
        <w:rPr>
          <w:sz w:val="24"/>
        </w:rPr>
        <w:t>重大行政决策、重大行政执法行为提出法律意见，对其法律可行性和操作性进行论证，对重大项目进行法律分析论证，</w:t>
      </w:r>
      <w:r>
        <w:rPr>
          <w:rFonts w:hint="eastAsia"/>
          <w:sz w:val="24"/>
        </w:rPr>
        <w:t>提供法律意见</w:t>
      </w:r>
      <w:r>
        <w:rPr>
          <w:sz w:val="24"/>
        </w:rPr>
        <w:t>；</w:t>
      </w:r>
    </w:p>
    <w:p w14:paraId="2C64AC93">
      <w:pPr>
        <w:spacing w:line="360" w:lineRule="auto"/>
        <w:ind w:firstLine="480" w:firstLineChars="200"/>
        <w:rPr>
          <w:sz w:val="24"/>
        </w:rPr>
      </w:pPr>
      <w:r>
        <w:rPr>
          <w:sz w:val="24"/>
        </w:rPr>
        <w:t>6. 参与法律法规规章草案和规范性文件送审稿的审查、论证；</w:t>
      </w:r>
    </w:p>
    <w:p w14:paraId="650F2E49">
      <w:pPr>
        <w:spacing w:line="360" w:lineRule="auto"/>
        <w:ind w:firstLine="480" w:firstLineChars="200"/>
        <w:rPr>
          <w:sz w:val="24"/>
        </w:rPr>
      </w:pPr>
      <w:r>
        <w:rPr>
          <w:sz w:val="24"/>
        </w:rPr>
        <w:t>7. 为</w:t>
      </w:r>
      <w:r>
        <w:rPr>
          <w:rFonts w:hint="eastAsia" w:ascii="Times New Roman" w:hAnsi="仿宋"/>
          <w:bCs/>
          <w:sz w:val="24"/>
        </w:rPr>
        <w:t>南通市医疗保障局</w:t>
      </w:r>
      <w:r>
        <w:rPr>
          <w:sz w:val="24"/>
        </w:rPr>
        <w:t>重大信访案件或重大突发事件等提供法律</w:t>
      </w:r>
      <w:r>
        <w:rPr>
          <w:rFonts w:hint="eastAsia"/>
          <w:sz w:val="24"/>
        </w:rPr>
        <w:t>意见</w:t>
      </w:r>
      <w:r>
        <w:rPr>
          <w:sz w:val="24"/>
        </w:rPr>
        <w:t>；</w:t>
      </w:r>
    </w:p>
    <w:p w14:paraId="52808A27">
      <w:pPr>
        <w:spacing w:line="360" w:lineRule="auto"/>
        <w:ind w:firstLine="480" w:firstLineChars="200"/>
        <w:rPr>
          <w:sz w:val="24"/>
        </w:rPr>
      </w:pPr>
      <w:r>
        <w:rPr>
          <w:sz w:val="24"/>
        </w:rPr>
        <w:t>8. 受委托参与</w:t>
      </w:r>
      <w:r>
        <w:rPr>
          <w:rFonts w:hint="eastAsia" w:ascii="Times New Roman" w:hAnsi="仿宋"/>
          <w:bCs/>
          <w:sz w:val="24"/>
        </w:rPr>
        <w:t>南通市医疗保障局</w:t>
      </w:r>
      <w:r>
        <w:rPr>
          <w:sz w:val="24"/>
        </w:rPr>
        <w:t>招标、投标活动，参与整个活动的谈判和监督执行；</w:t>
      </w:r>
    </w:p>
    <w:p w14:paraId="424C76B8">
      <w:pPr>
        <w:spacing w:line="360" w:lineRule="auto"/>
        <w:ind w:firstLine="480" w:firstLineChars="200"/>
        <w:rPr>
          <w:sz w:val="24"/>
        </w:rPr>
      </w:pPr>
      <w:r>
        <w:rPr>
          <w:sz w:val="24"/>
        </w:rPr>
        <w:t>9. 对涉及</w:t>
      </w:r>
      <w:r>
        <w:rPr>
          <w:rFonts w:hint="eastAsia" w:ascii="Times New Roman" w:hAnsi="仿宋"/>
          <w:bCs/>
          <w:sz w:val="24"/>
        </w:rPr>
        <w:t>南通市医疗保障局</w:t>
      </w:r>
      <w:r>
        <w:rPr>
          <w:sz w:val="24"/>
        </w:rPr>
        <w:t>行政管理和公共服务等法律事务提供指导；</w:t>
      </w:r>
    </w:p>
    <w:p w14:paraId="1E18FB58">
      <w:pPr>
        <w:spacing w:line="360" w:lineRule="auto"/>
        <w:ind w:firstLine="480" w:firstLineChars="200"/>
        <w:rPr>
          <w:sz w:val="24"/>
        </w:rPr>
      </w:pPr>
      <w:r>
        <w:rPr>
          <w:sz w:val="24"/>
        </w:rPr>
        <w:t>10. 应</w:t>
      </w:r>
      <w:r>
        <w:rPr>
          <w:rFonts w:hint="eastAsia" w:ascii="Times New Roman" w:hAnsi="仿宋"/>
          <w:bCs/>
          <w:sz w:val="24"/>
        </w:rPr>
        <w:t>南通市医疗保障局</w:t>
      </w:r>
      <w:r>
        <w:rPr>
          <w:sz w:val="24"/>
        </w:rPr>
        <w:t>要求，就已面临或可能发生的纠纷，进行法律论证，提出解决方案；</w:t>
      </w:r>
    </w:p>
    <w:p w14:paraId="42A70E79">
      <w:pPr>
        <w:spacing w:line="360" w:lineRule="auto"/>
        <w:ind w:firstLine="480" w:firstLineChars="200"/>
        <w:rPr>
          <w:sz w:val="24"/>
        </w:rPr>
      </w:pPr>
      <w:r>
        <w:rPr>
          <w:sz w:val="24"/>
        </w:rPr>
        <w:t>11. 对</w:t>
      </w:r>
      <w:r>
        <w:rPr>
          <w:rFonts w:hint="eastAsia" w:ascii="Times New Roman" w:hAnsi="仿宋"/>
          <w:bCs/>
          <w:sz w:val="24"/>
        </w:rPr>
        <w:t>南通市医疗保障局</w:t>
      </w:r>
      <w:r>
        <w:rPr>
          <w:sz w:val="24"/>
        </w:rPr>
        <w:t>员工开展不少于一次的法律培训，协助</w:t>
      </w:r>
      <w:r>
        <w:rPr>
          <w:rFonts w:hint="eastAsia" w:ascii="Times New Roman" w:hAnsi="仿宋"/>
          <w:bCs/>
          <w:sz w:val="24"/>
        </w:rPr>
        <w:t>南通市医疗保障局</w:t>
      </w:r>
      <w:r>
        <w:rPr>
          <w:sz w:val="24"/>
        </w:rPr>
        <w:t>进行法治宣传；</w:t>
      </w:r>
    </w:p>
    <w:p w14:paraId="6C5730E6">
      <w:pPr>
        <w:spacing w:line="360" w:lineRule="auto"/>
        <w:ind w:firstLine="480" w:firstLineChars="200"/>
        <w:rPr>
          <w:sz w:val="24"/>
        </w:rPr>
      </w:pPr>
      <w:r>
        <w:rPr>
          <w:sz w:val="24"/>
        </w:rPr>
        <w:t>12. 完成</w:t>
      </w:r>
      <w:r>
        <w:rPr>
          <w:rFonts w:hint="eastAsia" w:ascii="Times New Roman" w:hAnsi="仿宋"/>
          <w:bCs/>
          <w:sz w:val="24"/>
        </w:rPr>
        <w:t>南通市医疗保障局</w:t>
      </w:r>
      <w:r>
        <w:rPr>
          <w:sz w:val="24"/>
        </w:rPr>
        <w:t>交办的其他法律事务</w:t>
      </w:r>
      <w:r>
        <w:rPr>
          <w:rFonts w:hint="eastAsia"/>
          <w:sz w:val="24"/>
        </w:rPr>
        <w:t>。</w:t>
      </w:r>
    </w:p>
    <w:p w14:paraId="7ACF1327">
      <w:pPr>
        <w:spacing w:line="360" w:lineRule="auto"/>
        <w:ind w:firstLine="482" w:firstLineChars="200"/>
        <w:rPr>
          <w:rFonts w:ascii="Times New Roman" w:hAnsi="仿宋"/>
          <w:b/>
          <w:bCs/>
          <w:sz w:val="24"/>
        </w:rPr>
      </w:pPr>
      <w:r>
        <w:rPr>
          <w:rFonts w:hint="eastAsia" w:ascii="Times New Roman" w:hAnsi="仿宋"/>
          <w:b/>
          <w:bCs/>
          <w:sz w:val="24"/>
        </w:rPr>
        <w:t>三、服务期限：</w:t>
      </w:r>
    </w:p>
    <w:p w14:paraId="12710F62">
      <w:pPr>
        <w:spacing w:line="360" w:lineRule="auto"/>
        <w:ind w:firstLine="480" w:firstLineChars="200"/>
        <w:rPr>
          <w:rFonts w:ascii="Times New Roman" w:hAnsi="仿宋"/>
          <w:b/>
          <w:sz w:val="24"/>
        </w:rPr>
      </w:pPr>
      <w:r>
        <w:rPr>
          <w:rFonts w:hint="eastAsia" w:ascii="Times New Roman" w:hAnsi="Times New Roman"/>
          <w:sz w:val="24"/>
        </w:rPr>
        <w:t>2年，自签订合同之日起开始。</w:t>
      </w:r>
    </w:p>
    <w:p w14:paraId="6274B9C7">
      <w:pPr>
        <w:spacing w:line="360" w:lineRule="auto"/>
        <w:ind w:firstLine="482" w:firstLineChars="200"/>
        <w:rPr>
          <w:rFonts w:ascii="Times New Roman" w:hAnsi="仿宋"/>
          <w:b/>
          <w:sz w:val="24"/>
        </w:rPr>
      </w:pPr>
      <w:r>
        <w:rPr>
          <w:rFonts w:hint="eastAsia" w:ascii="Times New Roman" w:hAnsi="仿宋"/>
          <w:b/>
          <w:sz w:val="24"/>
        </w:rPr>
        <w:t>四、服务要求：</w:t>
      </w:r>
    </w:p>
    <w:p w14:paraId="74B476FD">
      <w:pPr>
        <w:spacing w:line="360" w:lineRule="auto"/>
        <w:ind w:firstLine="480" w:firstLineChars="200"/>
        <w:rPr>
          <w:rFonts w:ascii="Times New Roman" w:hAnsi="仿宋"/>
          <w:b/>
          <w:sz w:val="24"/>
        </w:rPr>
      </w:pPr>
      <w:r>
        <w:rPr>
          <w:rFonts w:hint="eastAsia" w:ascii="宋体" w:hAnsi="宋体" w:cs="宋体"/>
          <w:sz w:val="24"/>
          <w:shd w:val="clear" w:color="auto" w:fill="FFFFFF"/>
        </w:rPr>
        <w:t>供应商应保证24小时响应采购人，接到采购人书面或口头通知后，供应商应在2小时内到达采购人通知的地点提供法律服务。供应商未按照服务响应要求执行的，采购人有权终止合同，因此产生的所有损失由供应商自行承担。</w:t>
      </w:r>
    </w:p>
    <w:p w14:paraId="064F2FCD">
      <w:pPr>
        <w:spacing w:line="360" w:lineRule="auto"/>
        <w:ind w:firstLine="482" w:firstLineChars="200"/>
        <w:rPr>
          <w:rFonts w:ascii="Times New Roman" w:hAnsi="仿宋"/>
          <w:b/>
          <w:sz w:val="24"/>
        </w:rPr>
      </w:pPr>
      <w:r>
        <w:rPr>
          <w:rFonts w:hint="eastAsia" w:ascii="Times New Roman" w:hAnsi="仿宋"/>
          <w:b/>
          <w:sz w:val="24"/>
        </w:rPr>
        <w:t>五、付款条件：</w:t>
      </w:r>
    </w:p>
    <w:p w14:paraId="0BE7D6FF">
      <w:pPr>
        <w:snapToGrid w:val="0"/>
        <w:spacing w:line="360" w:lineRule="auto"/>
        <w:ind w:firstLine="480" w:firstLineChars="200"/>
        <w:rPr>
          <w:rFonts w:ascii="Times New Roman" w:hAnsi="Times New Roman" w:cs="宋体"/>
          <w:bCs/>
          <w:sz w:val="24"/>
        </w:rPr>
      </w:pPr>
      <w:r>
        <w:rPr>
          <w:rFonts w:hint="eastAsia" w:ascii="宋体" w:hAnsi="宋体" w:cs="宋体"/>
          <w:sz w:val="24"/>
          <w:shd w:val="clear" w:color="auto" w:fill="FFFFFF"/>
        </w:rPr>
        <w:t>合同期内法律顾问费每半年支付50%，单件计费项目每半年据实支付一次。服务供应商须提供符合税法规定的发票</w:t>
      </w:r>
      <w:r>
        <w:rPr>
          <w:rFonts w:hint="eastAsia" w:ascii="Times New Roman" w:hAnsi="Times New Roman" w:cs="宋体"/>
          <w:bCs/>
          <w:sz w:val="24"/>
        </w:rPr>
        <w:t>。</w:t>
      </w:r>
    </w:p>
    <w:p w14:paraId="19C5D6CF">
      <w:pPr>
        <w:spacing w:line="360" w:lineRule="auto"/>
        <w:ind w:firstLine="482" w:firstLineChars="200"/>
        <w:rPr>
          <w:rFonts w:ascii="Times New Roman" w:hAnsi="仿宋"/>
          <w:b/>
          <w:sz w:val="24"/>
        </w:rPr>
      </w:pPr>
      <w:r>
        <w:rPr>
          <w:rFonts w:hint="eastAsia" w:ascii="Times New Roman" w:hAnsi="仿宋"/>
          <w:b/>
          <w:sz w:val="24"/>
        </w:rPr>
        <w:t>六、其他补充事宜：</w:t>
      </w:r>
    </w:p>
    <w:p w14:paraId="6D4AF835">
      <w:pPr>
        <w:spacing w:line="360" w:lineRule="auto"/>
        <w:ind w:firstLine="480" w:firstLineChars="200"/>
        <w:rPr>
          <w:rFonts w:ascii="Times New Roman" w:hAnsi="仿宋"/>
          <w:bCs/>
          <w:color w:val="auto"/>
          <w:sz w:val="24"/>
        </w:rPr>
      </w:pPr>
      <w:r>
        <w:rPr>
          <w:rFonts w:hint="eastAsia" w:ascii="Times New Roman" w:hAnsi="仿宋"/>
          <w:bCs/>
          <w:sz w:val="24"/>
        </w:rPr>
        <w:t>1、提供法律服务过程中所需的资料费、咨询费、复印费、邮寄费、通讯费、南通市区范围内的差旅费、交通费等费用，由供应商自理。因案件办理确需离开南通市范围的，律师的交通费、住宿费</w:t>
      </w:r>
      <w:r>
        <w:rPr>
          <w:rFonts w:hint="eastAsia" w:ascii="Times New Roman" w:hAnsi="仿宋"/>
          <w:bCs/>
          <w:color w:val="auto"/>
          <w:sz w:val="24"/>
        </w:rPr>
        <w:t>由采购人承担，凭票报销结算。提供法律服务过程中所需的鉴定费、翻译费、查询费由采购人承担。</w:t>
      </w:r>
    </w:p>
    <w:p w14:paraId="1A8E7453">
      <w:pPr>
        <w:spacing w:line="360" w:lineRule="auto"/>
        <w:ind w:firstLine="480" w:firstLineChars="200"/>
        <w:rPr>
          <w:rFonts w:ascii="宋体" w:hAnsi="宋体"/>
          <w:sz w:val="24"/>
        </w:rPr>
      </w:pPr>
      <w:r>
        <w:rPr>
          <w:rFonts w:hint="eastAsia" w:ascii="宋体" w:hAnsi="宋体"/>
          <w:color w:val="auto"/>
          <w:sz w:val="24"/>
        </w:rPr>
        <w:t>2、常年法律顾问合同期内，除</w:t>
      </w:r>
      <w:r>
        <w:rPr>
          <w:rFonts w:ascii="宋体" w:hAnsi="宋体"/>
          <w:color w:val="auto"/>
          <w:sz w:val="24"/>
        </w:rPr>
        <w:t>项目需求包含的服务内容</w:t>
      </w:r>
      <w:r>
        <w:rPr>
          <w:rFonts w:hint="eastAsia" w:ascii="宋体" w:hAnsi="宋体"/>
          <w:color w:val="auto"/>
          <w:sz w:val="24"/>
        </w:rPr>
        <w:t>正常支付法律顾问费外，按照下列标准对以下服务内容额外支付费用：（1）出具合同及一般性文件法律审查意见，五份以内（含五份）免费，超过部分300元/份；（2）行政规范性文件审查3000元/份（特别重大或复杂文件另行协商）；（3）行政复议及行政诉讼案件5000元/件，涉及不同阶段（复议、一审、二审），每增加一个阶段，另行收取2500元/每阶段），重大案件另行协商；（4）民事案件根据诉讼标的另行协商。</w:t>
      </w:r>
    </w:p>
    <w:p w14:paraId="082325BA">
      <w:pPr>
        <w:spacing w:line="360" w:lineRule="auto"/>
        <w:jc w:val="center"/>
        <w:rPr>
          <w:rFonts w:ascii="Times New Roman" w:hAnsi="Times New Roman" w:cs="宋体"/>
          <w:b/>
          <w:sz w:val="36"/>
          <w:szCs w:val="36"/>
          <w:lang w:val="zh-CN"/>
        </w:rPr>
      </w:pPr>
      <w:r>
        <w:rPr>
          <w:rFonts w:hint="eastAsia" w:ascii="Times New Roman" w:hAnsi="Times New Roman" w:cs="方正小标宋简体"/>
          <w:sz w:val="44"/>
          <w:szCs w:val="44"/>
          <w:lang w:val="zh-CN"/>
        </w:rPr>
        <w:br w:type="page"/>
      </w:r>
      <w:r>
        <w:rPr>
          <w:rFonts w:hint="eastAsia" w:ascii="Times New Roman" w:hAnsi="Times New Roman" w:cs="方正小标宋简体"/>
          <w:b/>
          <w:sz w:val="44"/>
          <w:szCs w:val="44"/>
          <w:lang w:val="zh-CN"/>
        </w:rPr>
        <w:t>第四章 评审方法和程序</w:t>
      </w:r>
    </w:p>
    <w:p w14:paraId="14D21ECA">
      <w:pPr>
        <w:snapToGrid w:val="0"/>
        <w:spacing w:line="360" w:lineRule="auto"/>
        <w:ind w:firstLine="482" w:firstLineChars="200"/>
        <w:outlineLvl w:val="1"/>
        <w:rPr>
          <w:rFonts w:ascii="Times New Roman" w:hAnsi="Times New Roman" w:cs="宋体"/>
          <w:b/>
          <w:sz w:val="24"/>
        </w:rPr>
      </w:pPr>
      <w:r>
        <w:rPr>
          <w:rFonts w:hint="eastAsia" w:ascii="Times New Roman" w:hAnsi="Times New Roman" w:cs="宋体"/>
          <w:b/>
          <w:sz w:val="24"/>
        </w:rPr>
        <w:t>一、代理机构组织磋商</w:t>
      </w:r>
    </w:p>
    <w:p w14:paraId="3A3763FC">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1、本次竞争性磋商依据《中华人民共和国政府采购法》、《政府采购竞争性磋商采购方式管理暂行办法》及有关法规成立磋商小组。磋商小组由采购人代表和评审专家共3人以上单数组成。</w:t>
      </w:r>
    </w:p>
    <w:p w14:paraId="459AEBA2">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2、磋商小组的职责：</w:t>
      </w:r>
    </w:p>
    <w:p w14:paraId="776AA37E">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（1）磋商小组成员应当按照客观、公正、审慎的原则，根据磋商文件规定的评审程序、评审方法和评审标准进行独立评审。</w:t>
      </w:r>
    </w:p>
    <w:p w14:paraId="4903917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（2）磋商小组成员应当遵守评审工作纪律，不得泄露评审情况和评审中获悉的商业秘密，对个人的评审意见承担法律责任；</w:t>
      </w:r>
    </w:p>
    <w:p w14:paraId="54E6019E">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（3）磋商小组成员在评审过程中发现供应商有行贿、提供虚假材料或者串通等违法行为的，应当及时向财政部门报告。</w:t>
      </w:r>
    </w:p>
    <w:p w14:paraId="5D33E866">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（4）磋商小组成员在评审过程中受到非法干涉的，应当及时向财政、监察等部门举报。</w:t>
      </w:r>
    </w:p>
    <w:p w14:paraId="07510346">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（5）配合采购单位答复供应商提出的质疑；配合财政部门的投诉处理和监督检查工作。</w:t>
      </w:r>
    </w:p>
    <w:p w14:paraId="4F194C89">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3、评审有关记录由磋商小组成员签名，存档备查。</w:t>
      </w:r>
    </w:p>
    <w:p w14:paraId="3804F4E5">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4、供应商的法定代表人或被授权人须持身份证准时参加磋商开标会。</w:t>
      </w:r>
    </w:p>
    <w:p w14:paraId="5EF9FDA3">
      <w:pPr>
        <w:snapToGrid w:val="0"/>
        <w:spacing w:line="360" w:lineRule="auto"/>
        <w:ind w:firstLine="482" w:firstLineChars="200"/>
        <w:outlineLvl w:val="1"/>
        <w:rPr>
          <w:rFonts w:ascii="Times New Roman" w:hAnsi="Times New Roman" w:cs="宋体"/>
          <w:b/>
          <w:sz w:val="24"/>
        </w:rPr>
      </w:pPr>
      <w:r>
        <w:rPr>
          <w:rFonts w:hint="eastAsia" w:ascii="Times New Roman" w:hAnsi="Times New Roman" w:cs="宋体"/>
          <w:b/>
          <w:sz w:val="24"/>
        </w:rPr>
        <w:t>二、磋商的原则及方法</w:t>
      </w:r>
    </w:p>
    <w:p w14:paraId="79536F7B">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1、磋商小组依据《中华人民共和国政府采购法》、《政府采购竞争性磋商采购方式管理暂行办法》以及有关政府采购的相关法规，遵循“公开、公平、公正、择优、信用”的原则进行磋商评审。</w:t>
      </w:r>
    </w:p>
    <w:p w14:paraId="7F6E683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2、磋商小组将按照竞争性磋商文件的规定，独立对每个进入打分程序的有效投标供应商的响应文件的技术部分以打分的形式进行评审和评价。技术分取算术平均值（计算结果均四舍五入保留两位小数）。</w:t>
      </w:r>
    </w:p>
    <w:p w14:paraId="304EAB4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462E28E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4、磋商小组所有成员应当集中与单一供应商分别进行磋商，并给予所有参加磋商的供应商平等的磋商机会。</w:t>
      </w:r>
    </w:p>
    <w:p w14:paraId="5397FB2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5、在磋商过程中，磋商小组可以根据磋商文件和磋商情况实质性变动采购需求中的技术、服务要求以及合同草案条款，但不得变动磋商文件中的其他内容。实质性变动的内容，须经采购单位代表确认。</w:t>
      </w:r>
    </w:p>
    <w:p w14:paraId="5B3A4F2C">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6、对磋商文件作出的实质性变动是磋商文件的有效组成部分，磋商小组应当及时以书面形式同时通知所有参加磋商的供应商。</w:t>
      </w:r>
    </w:p>
    <w:p w14:paraId="53368F5B">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16ADC771">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8、经磋商确定最终采购需求和提交最后报价的供应商：磋商文件能够详细列明采购标的的技术、服务要求的，磋商结束后，磋商小组应当要求所有实质性响应的供应商在规定时间内提交最后报价。</w:t>
      </w:r>
    </w:p>
    <w:p w14:paraId="4BB2CA57">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C5655A8">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10、除非在磋商中磋商小组对采购单位需求内容作了调整增加，或对采购内容作了实质性变更，否则</w:t>
      </w:r>
      <w:r>
        <w:rPr>
          <w:rFonts w:hint="eastAsia" w:ascii="Times New Roman" w:hAnsi="Times New Roman" w:cs="宋体"/>
          <w:b/>
          <w:sz w:val="24"/>
        </w:rPr>
        <w:t>采购单位不接受供应商高于自己前一轮的磋商报价</w:t>
      </w:r>
      <w:r>
        <w:rPr>
          <w:rFonts w:hint="eastAsia" w:ascii="Times New Roman" w:hAnsi="Times New Roman" w:cs="宋体"/>
          <w:sz w:val="24"/>
        </w:rPr>
        <w:t>。</w:t>
      </w:r>
    </w:p>
    <w:p w14:paraId="306268D1">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11、对于在磋商顺利开始后至最终报价前，根据磋商情况退出磋商的供应商，须以书面形式说明退出磋商的原因，经磋商小组同意可以退出磋商。</w:t>
      </w:r>
    </w:p>
    <w:p w14:paraId="667D45BE">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12、在磋商中，磋商的任何一方不得透露与磋商有关的其他响应磋商的供应商的技术资料、价格及其他信息。</w:t>
      </w:r>
    </w:p>
    <w:p w14:paraId="19F2CC2A">
      <w:pPr>
        <w:snapToGrid w:val="0"/>
        <w:spacing w:line="360" w:lineRule="auto"/>
        <w:ind w:firstLine="480" w:firstLineChars="200"/>
        <w:rPr>
          <w:rFonts w:ascii="Times New Roman" w:hAnsi="Times New Roman"/>
          <w:sz w:val="24"/>
        </w:rPr>
      </w:pPr>
      <w:r>
        <w:rPr>
          <w:rFonts w:hint="eastAsia" w:ascii="Times New Roman" w:hAnsi="Times New Roman" w:cs="宋体"/>
          <w:sz w:val="24"/>
        </w:rPr>
        <w:t>13、</w:t>
      </w:r>
      <w:r>
        <w:rPr>
          <w:rFonts w:hint="eastAsia" w:ascii="Times New Roman" w:hAnsi="Times New Roman"/>
          <w:sz w:val="24"/>
        </w:rPr>
        <w:t>单位负责人为同一人或者存在直接控股、管理关系的不同供应商，都不得在同一采购项目相同标段中同时参加磋商，一经发现，将视同围标处理。</w:t>
      </w:r>
    </w:p>
    <w:p w14:paraId="78422753">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14、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727446B">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15、若采购过程中符合要求的供应商只有两家，则由磋商小组集体讨论决定是否继续进行竞争性磋商采购活动；若采购过程中符合要求的供应商只有一家，则终止本次竞争性磋商采购活动，重新开展采购活动。</w:t>
      </w:r>
    </w:p>
    <w:p w14:paraId="1186A051">
      <w:pPr>
        <w:snapToGrid w:val="0"/>
        <w:spacing w:line="360" w:lineRule="auto"/>
        <w:ind w:firstLine="482" w:firstLineChars="200"/>
        <w:outlineLvl w:val="1"/>
        <w:rPr>
          <w:rFonts w:ascii="Times New Roman" w:hAnsi="Times New Roman" w:cs="宋体"/>
          <w:b/>
          <w:sz w:val="24"/>
        </w:rPr>
      </w:pPr>
      <w:r>
        <w:rPr>
          <w:rFonts w:hint="eastAsia" w:ascii="Times New Roman" w:hAnsi="Times New Roman" w:cs="宋体"/>
          <w:b/>
          <w:sz w:val="24"/>
        </w:rPr>
        <w:t>三、磋商评定结果的方法</w:t>
      </w:r>
    </w:p>
    <w:p w14:paraId="1AA2847B">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1、</w:t>
      </w:r>
      <w:r>
        <w:rPr>
          <w:rFonts w:hint="eastAsia" w:ascii="Times New Roman" w:hAnsi="Times New Roman" w:cs="宋体"/>
          <w:b/>
          <w:sz w:val="24"/>
          <w:u w:val="single"/>
        </w:rPr>
        <w:t>经磋商确定最终采购需求和提交最后报价的供应商后，</w:t>
      </w:r>
      <w:r>
        <w:rPr>
          <w:rFonts w:hint="eastAsia" w:ascii="Times New Roman" w:hAnsi="Times New Roman" w:cs="宋体"/>
          <w:sz w:val="24"/>
        </w:rPr>
        <w:t>由磋商小组采用综合评分法</w:t>
      </w:r>
      <w:r>
        <w:rPr>
          <w:rFonts w:hint="eastAsia" w:ascii="Times New Roman" w:hAnsi="Times New Roman" w:cs="宋体"/>
          <w:b/>
          <w:sz w:val="24"/>
          <w:u w:val="single"/>
        </w:rPr>
        <w:t>对提交最后报价的供应商的响应文件和最后报价</w:t>
      </w:r>
      <w:r>
        <w:rPr>
          <w:rFonts w:hint="eastAsia" w:ascii="Times New Roman" w:hAnsi="Times New Roman" w:cs="宋体"/>
          <w:sz w:val="24"/>
        </w:rPr>
        <w:t>进行综合评分。</w:t>
      </w:r>
    </w:p>
    <w:p w14:paraId="20E7EDBF">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2、评审时，磋商小组各成员应当独立对每个有效响应的文件进行评价、打分，然后汇总每个供应商每项评分因素的得分（计算结果均四舍五入保留两位小数）。</w:t>
      </w:r>
    </w:p>
    <w:p w14:paraId="795CD633">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3、本次项目磋商的技术和商务报价评审总分值为100分。两部分评审因素比重如下：</w:t>
      </w:r>
    </w:p>
    <w:p w14:paraId="10344C30">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技术分值占总分值的比重为</w:t>
      </w:r>
      <w:r>
        <w:rPr>
          <w:rFonts w:hint="eastAsia" w:ascii="Times New Roman" w:hAnsi="Times New Roman" w:cs="宋体"/>
          <w:b/>
          <w:sz w:val="24"/>
          <w:u w:val="single"/>
        </w:rPr>
        <w:t xml:space="preserve"> 80%（权重）</w:t>
      </w:r>
      <w:r>
        <w:rPr>
          <w:rFonts w:hint="eastAsia" w:ascii="Times New Roman" w:hAnsi="Times New Roman" w:cs="宋体"/>
          <w:sz w:val="24"/>
        </w:rPr>
        <w:t>（四舍五入保留两位小数）；</w:t>
      </w:r>
    </w:p>
    <w:p w14:paraId="3A3486C1">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商务报价分值占总分值的比重为</w:t>
      </w:r>
      <w:r>
        <w:rPr>
          <w:rFonts w:hint="eastAsia" w:ascii="Times New Roman" w:hAnsi="Times New Roman" w:cs="宋体"/>
          <w:b/>
          <w:sz w:val="24"/>
          <w:u w:val="single"/>
        </w:rPr>
        <w:t>20%（权重）</w:t>
      </w:r>
      <w:r>
        <w:rPr>
          <w:rFonts w:hint="eastAsia" w:ascii="Times New Roman" w:hAnsi="Times New Roman" w:cs="宋体"/>
          <w:sz w:val="24"/>
        </w:rPr>
        <w:t>（四舍五入保留两位小数）。</w:t>
      </w:r>
    </w:p>
    <w:p w14:paraId="3013E76A">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4、技术分按算术平均值计算，分值四舍五入保留两位小数。</w:t>
      </w:r>
    </w:p>
    <w:p w14:paraId="236C7B54">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5、商务报价分统一采用低价优先法计算直接取得，与技术分相加为供应商的综合得分（四舍五入保留两位小数）。</w:t>
      </w:r>
    </w:p>
    <w:p w14:paraId="5482F525">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6、综合得分最高的供应商推荐为项目预成交人并出具评审磋商报告。</w:t>
      </w:r>
    </w:p>
    <w:p w14:paraId="26EE9075">
      <w:pPr>
        <w:snapToGrid w:val="0"/>
        <w:spacing w:line="360" w:lineRule="auto"/>
        <w:ind w:firstLine="480" w:firstLineChars="200"/>
        <w:outlineLvl w:val="1"/>
        <w:rPr>
          <w:rFonts w:ascii="Times New Roman" w:hAnsi="Times New Roman" w:cs="宋体"/>
          <w:sz w:val="24"/>
        </w:rPr>
      </w:pPr>
      <w:r>
        <w:rPr>
          <w:rFonts w:hint="eastAsia" w:ascii="Times New Roman" w:hAnsi="Times New Roman" w:cs="宋体"/>
          <w:sz w:val="24"/>
        </w:rPr>
        <w:t>7、确定成交候选人的特殊情况处理：</w:t>
      </w:r>
    </w:p>
    <w:p w14:paraId="25BC568C">
      <w:pPr>
        <w:snapToGrid w:val="0"/>
        <w:spacing w:line="360" w:lineRule="auto"/>
        <w:ind w:firstLine="480" w:firstLineChars="200"/>
        <w:outlineLvl w:val="1"/>
        <w:rPr>
          <w:rFonts w:ascii="Times New Roman" w:hAnsi="Times New Roman" w:cs="宋体"/>
          <w:sz w:val="24"/>
        </w:rPr>
      </w:pPr>
      <w:r>
        <w:rPr>
          <w:rFonts w:hint="eastAsia" w:ascii="Times New Roman" w:hAnsi="Times New Roman" w:cs="宋体"/>
          <w:sz w:val="24"/>
        </w:rPr>
        <w:t>（1）若总分相同，则按最终报价响应得分高者优先中标。</w:t>
      </w:r>
    </w:p>
    <w:p w14:paraId="21988FD3">
      <w:pPr>
        <w:snapToGrid w:val="0"/>
        <w:spacing w:line="360" w:lineRule="auto"/>
        <w:ind w:firstLine="480" w:firstLineChars="200"/>
        <w:outlineLvl w:val="1"/>
        <w:rPr>
          <w:rFonts w:ascii="Times New Roman" w:hAnsi="Times New Roman" w:cs="宋体"/>
          <w:sz w:val="24"/>
        </w:rPr>
      </w:pPr>
      <w:r>
        <w:rPr>
          <w:rFonts w:hint="eastAsia" w:ascii="Times New Roman" w:hAnsi="Times New Roman" w:cs="宋体"/>
          <w:sz w:val="24"/>
        </w:rPr>
        <w:t>（2）若总分且最终报价响应得分相同，则采取现场抽签的方式确定（投标供应商的抽签顺序分别为各投标供应商递交响应文件签到顺序号）。</w:t>
      </w:r>
    </w:p>
    <w:p w14:paraId="54EFE49B">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8、磋商评审时，评委对评审的细则若有争议，由磋商小组集体讨论确定，并对未尽情况有最终解释权。</w:t>
      </w:r>
    </w:p>
    <w:p w14:paraId="436A8A79">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9、对落标的供应商不做落标原因的解释。</w:t>
      </w:r>
    </w:p>
    <w:p w14:paraId="62E154BA">
      <w:pPr>
        <w:snapToGrid w:val="0"/>
        <w:spacing w:line="360" w:lineRule="auto"/>
        <w:ind w:firstLine="482" w:firstLineChars="200"/>
        <w:outlineLvl w:val="1"/>
        <w:rPr>
          <w:rFonts w:ascii="Times New Roman" w:hAnsi="Times New Roman" w:cs="宋体"/>
          <w:b/>
          <w:sz w:val="24"/>
        </w:rPr>
      </w:pPr>
      <w:r>
        <w:rPr>
          <w:rFonts w:hint="eastAsia" w:ascii="Times New Roman" w:hAnsi="Times New Roman" w:cs="宋体"/>
          <w:b/>
          <w:sz w:val="24"/>
        </w:rPr>
        <w:t>四、综合评分评审标准</w:t>
      </w:r>
    </w:p>
    <w:p w14:paraId="3A33AD2E">
      <w:pPr>
        <w:snapToGrid w:val="0"/>
        <w:spacing w:line="360" w:lineRule="auto"/>
        <w:ind w:firstLine="480" w:firstLineChars="200"/>
        <w:outlineLvl w:val="2"/>
        <w:rPr>
          <w:rFonts w:ascii="宋体" w:hAnsi="宋体" w:cs="宋体"/>
          <w:sz w:val="32"/>
          <w:szCs w:val="32"/>
        </w:rPr>
      </w:pPr>
      <w:r>
        <w:rPr>
          <w:rFonts w:hint="eastAsia" w:ascii="Times New Roman" w:hAnsi="Times New Roman" w:cs="宋体"/>
          <w:sz w:val="24"/>
        </w:rPr>
        <w:t>（一）技术分：（80分）</w:t>
      </w: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30" w:type="dxa"/>
          <w:bottom w:w="0" w:type="dxa"/>
          <w:right w:w="30" w:type="dxa"/>
        </w:tblCellMar>
      </w:tblPr>
      <w:tblGrid>
        <w:gridCol w:w="709"/>
        <w:gridCol w:w="1562"/>
        <w:gridCol w:w="653"/>
        <w:gridCol w:w="6432"/>
      </w:tblGrid>
      <w:tr w14:paraId="50F1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jc w:val="center"/>
        </w:trPr>
        <w:tc>
          <w:tcPr>
            <w:tcW w:w="709" w:type="dxa"/>
            <w:tcBorders>
              <w:tl2br w:val="nil"/>
              <w:tr2bl w:val="nil"/>
            </w:tcBorders>
            <w:vAlign w:val="center"/>
          </w:tcPr>
          <w:p w14:paraId="3129A06A">
            <w:pPr>
              <w:autoSpaceDE w:val="0"/>
              <w:autoSpaceDN w:val="0"/>
              <w:adjustRightInd w:val="0"/>
              <w:spacing w:line="320" w:lineRule="exact"/>
              <w:jc w:val="center"/>
              <w:rPr>
                <w:rFonts w:ascii="Times New Roman" w:hAnsi="Times New Roman" w:cs="宋体"/>
                <w:b/>
                <w:bCs/>
                <w:kern w:val="0"/>
                <w:szCs w:val="21"/>
              </w:rPr>
            </w:pPr>
            <w:r>
              <w:rPr>
                <w:rFonts w:hint="eastAsia" w:ascii="Times New Roman" w:hAnsi="Times New Roman" w:cs="宋体"/>
                <w:b/>
                <w:bCs/>
                <w:kern w:val="0"/>
                <w:szCs w:val="21"/>
              </w:rPr>
              <w:t>序号</w:t>
            </w:r>
          </w:p>
        </w:tc>
        <w:tc>
          <w:tcPr>
            <w:tcW w:w="1562" w:type="dxa"/>
            <w:tcBorders>
              <w:tl2br w:val="nil"/>
              <w:tr2bl w:val="nil"/>
            </w:tcBorders>
            <w:vAlign w:val="center"/>
          </w:tcPr>
          <w:p w14:paraId="37FF0806">
            <w:pPr>
              <w:autoSpaceDE w:val="0"/>
              <w:autoSpaceDN w:val="0"/>
              <w:adjustRightInd w:val="0"/>
              <w:spacing w:line="320" w:lineRule="exact"/>
              <w:jc w:val="center"/>
              <w:rPr>
                <w:rFonts w:ascii="Times New Roman" w:hAnsi="Times New Roman" w:cs="宋体"/>
                <w:b/>
                <w:bCs/>
                <w:kern w:val="0"/>
                <w:szCs w:val="21"/>
              </w:rPr>
            </w:pPr>
            <w:r>
              <w:rPr>
                <w:rFonts w:hint="eastAsia" w:ascii="Times New Roman" w:hAnsi="Times New Roman" w:cs="宋体"/>
                <w:b/>
                <w:bCs/>
                <w:kern w:val="0"/>
                <w:szCs w:val="21"/>
              </w:rPr>
              <w:t>评分项</w:t>
            </w:r>
          </w:p>
        </w:tc>
        <w:tc>
          <w:tcPr>
            <w:tcW w:w="653" w:type="dxa"/>
            <w:tcBorders>
              <w:tl2br w:val="nil"/>
              <w:tr2bl w:val="nil"/>
            </w:tcBorders>
            <w:vAlign w:val="center"/>
          </w:tcPr>
          <w:p w14:paraId="512ED1A4">
            <w:pPr>
              <w:autoSpaceDE w:val="0"/>
              <w:autoSpaceDN w:val="0"/>
              <w:adjustRightInd w:val="0"/>
              <w:spacing w:line="320" w:lineRule="exact"/>
              <w:jc w:val="center"/>
              <w:rPr>
                <w:rFonts w:ascii="Times New Roman" w:hAnsi="Times New Roman" w:cs="宋体"/>
                <w:b/>
                <w:bCs/>
                <w:kern w:val="0"/>
                <w:szCs w:val="21"/>
              </w:rPr>
            </w:pPr>
            <w:r>
              <w:rPr>
                <w:rFonts w:hint="eastAsia" w:ascii="Times New Roman" w:hAnsi="Times New Roman" w:cs="宋体"/>
                <w:b/>
                <w:bCs/>
                <w:kern w:val="0"/>
                <w:szCs w:val="21"/>
              </w:rPr>
              <w:t>分值</w:t>
            </w:r>
          </w:p>
        </w:tc>
        <w:tc>
          <w:tcPr>
            <w:tcW w:w="6432" w:type="dxa"/>
            <w:tcBorders>
              <w:tl2br w:val="nil"/>
              <w:tr2bl w:val="nil"/>
            </w:tcBorders>
            <w:vAlign w:val="center"/>
          </w:tcPr>
          <w:p w14:paraId="2D31B6A1">
            <w:pPr>
              <w:autoSpaceDE w:val="0"/>
              <w:autoSpaceDN w:val="0"/>
              <w:adjustRightInd w:val="0"/>
              <w:spacing w:line="320" w:lineRule="exact"/>
              <w:jc w:val="center"/>
              <w:rPr>
                <w:rFonts w:ascii="Times New Roman" w:hAnsi="Times New Roman" w:cs="宋体"/>
                <w:b/>
                <w:bCs/>
                <w:kern w:val="0"/>
                <w:szCs w:val="21"/>
              </w:rPr>
            </w:pPr>
            <w:r>
              <w:rPr>
                <w:rFonts w:hint="eastAsia" w:ascii="Times New Roman" w:hAnsi="Times New Roman" w:cs="宋体"/>
                <w:b/>
                <w:bCs/>
                <w:kern w:val="0"/>
                <w:szCs w:val="21"/>
              </w:rPr>
              <w:t>评审标准</w:t>
            </w:r>
          </w:p>
        </w:tc>
      </w:tr>
      <w:tr w14:paraId="4602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jc w:val="center"/>
        </w:trPr>
        <w:tc>
          <w:tcPr>
            <w:tcW w:w="709" w:type="dxa"/>
            <w:tcBorders>
              <w:tl2br w:val="nil"/>
              <w:tr2bl w:val="nil"/>
            </w:tcBorders>
            <w:vAlign w:val="center"/>
          </w:tcPr>
          <w:p w14:paraId="738622A3">
            <w:pPr>
              <w:autoSpaceDE w:val="0"/>
              <w:autoSpaceDN w:val="0"/>
              <w:adjustRightInd w:val="0"/>
              <w:spacing w:line="320" w:lineRule="exact"/>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1</w:t>
            </w:r>
          </w:p>
        </w:tc>
        <w:tc>
          <w:tcPr>
            <w:tcW w:w="1562" w:type="dxa"/>
            <w:tcBorders>
              <w:tl2br w:val="nil"/>
              <w:tr2bl w:val="nil"/>
            </w:tcBorders>
            <w:vAlign w:val="center"/>
          </w:tcPr>
          <w:p w14:paraId="6737430F">
            <w:pPr>
              <w:autoSpaceDE w:val="0"/>
              <w:autoSpaceDN w:val="0"/>
              <w:adjustRightInd w:val="0"/>
              <w:spacing w:line="320" w:lineRule="exact"/>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供应商实力</w:t>
            </w:r>
          </w:p>
        </w:tc>
        <w:tc>
          <w:tcPr>
            <w:tcW w:w="653" w:type="dxa"/>
            <w:tcBorders>
              <w:tl2br w:val="nil"/>
              <w:tr2bl w:val="nil"/>
            </w:tcBorders>
            <w:vAlign w:val="center"/>
          </w:tcPr>
          <w:p w14:paraId="3E1D17E9">
            <w:pPr>
              <w:pStyle w:val="5"/>
              <w:ind w:firstLine="105" w:firstLineChars="50"/>
              <w:jc w:val="center"/>
              <w:rPr>
                <w:rFonts w:ascii="宋体" w:hAnsi="宋体"/>
                <w:b w:val="0"/>
                <w:bCs w:val="0"/>
                <w:color w:val="auto"/>
                <w:sz w:val="21"/>
                <w:szCs w:val="21"/>
                <w:highlight w:val="none"/>
              </w:rPr>
            </w:pPr>
            <w:r>
              <w:rPr>
                <w:rFonts w:ascii="宋体" w:hAnsi="宋体" w:cs="宋体"/>
                <w:b w:val="0"/>
                <w:bCs w:val="0"/>
                <w:color w:val="auto"/>
                <w:kern w:val="0"/>
                <w:sz w:val="21"/>
                <w:szCs w:val="21"/>
                <w:highlight w:val="none"/>
              </w:rPr>
              <w:t>20</w:t>
            </w:r>
            <w:r>
              <w:rPr>
                <w:rFonts w:hint="eastAsia" w:ascii="宋体" w:hAnsi="宋体" w:cs="宋体"/>
                <w:b w:val="0"/>
                <w:bCs w:val="0"/>
                <w:color w:val="auto"/>
                <w:kern w:val="0"/>
                <w:sz w:val="21"/>
                <w:szCs w:val="21"/>
                <w:highlight w:val="none"/>
              </w:rPr>
              <w:t>分</w:t>
            </w:r>
          </w:p>
        </w:tc>
        <w:tc>
          <w:tcPr>
            <w:tcW w:w="6432" w:type="dxa"/>
            <w:tcBorders>
              <w:tl2br w:val="nil"/>
              <w:tr2bl w:val="nil"/>
            </w:tcBorders>
            <w:vAlign w:val="center"/>
          </w:tcPr>
          <w:p w14:paraId="2C9FCE26">
            <w:pPr>
              <w:autoSpaceDE w:val="0"/>
              <w:autoSpaceDN w:val="0"/>
              <w:adjustRightInd w:val="0"/>
              <w:spacing w:line="360" w:lineRule="auto"/>
              <w:jc w:val="left"/>
              <w:rPr>
                <w:rFonts w:ascii="宋体" w:hAnsi="宋体"/>
                <w:color w:val="auto"/>
                <w:highlight w:val="none"/>
              </w:rPr>
            </w:pPr>
            <w:r>
              <w:rPr>
                <w:rFonts w:hint="eastAsia" w:ascii="宋体" w:hAnsi="宋体" w:cs="宋体"/>
                <w:color w:val="auto"/>
                <w:szCs w:val="21"/>
                <w:highlight w:val="none"/>
              </w:rPr>
              <w:t>1、规模（5分）：事务所人数5</w:t>
            </w:r>
            <w:r>
              <w:rPr>
                <w:rFonts w:ascii="宋体" w:hAnsi="宋体" w:cs="宋体"/>
                <w:color w:val="auto"/>
                <w:szCs w:val="21"/>
                <w:highlight w:val="none"/>
              </w:rPr>
              <w:t>0</w:t>
            </w:r>
            <w:r>
              <w:rPr>
                <w:rFonts w:hint="eastAsia" w:ascii="宋体" w:hAnsi="宋体" w:cs="宋体"/>
                <w:color w:val="auto"/>
                <w:szCs w:val="21"/>
                <w:highlight w:val="none"/>
              </w:rPr>
              <w:t>人（含本数）以上的，得5分，2</w:t>
            </w:r>
            <w:r>
              <w:rPr>
                <w:rFonts w:ascii="宋体" w:hAnsi="宋体" w:cs="宋体"/>
                <w:color w:val="auto"/>
                <w:szCs w:val="21"/>
                <w:highlight w:val="none"/>
              </w:rPr>
              <w:t>0</w:t>
            </w:r>
            <w:r>
              <w:rPr>
                <w:rFonts w:hint="eastAsia" w:ascii="宋体" w:hAnsi="宋体" w:cs="宋体"/>
                <w:color w:val="auto"/>
                <w:szCs w:val="21"/>
                <w:highlight w:val="none"/>
              </w:rPr>
              <w:t>人（含本数）至4</w:t>
            </w:r>
            <w:r>
              <w:rPr>
                <w:rFonts w:ascii="宋体" w:hAnsi="宋体" w:cs="宋体"/>
                <w:color w:val="auto"/>
                <w:szCs w:val="21"/>
                <w:highlight w:val="none"/>
              </w:rPr>
              <w:t>9</w:t>
            </w:r>
            <w:r>
              <w:rPr>
                <w:rFonts w:hint="eastAsia" w:ascii="宋体" w:hAnsi="宋体" w:cs="宋体"/>
                <w:color w:val="auto"/>
                <w:szCs w:val="21"/>
                <w:highlight w:val="none"/>
              </w:rPr>
              <w:t>人的，得3分，2</w:t>
            </w:r>
            <w:r>
              <w:rPr>
                <w:rFonts w:ascii="宋体" w:hAnsi="宋体" w:cs="宋体"/>
                <w:color w:val="auto"/>
                <w:szCs w:val="21"/>
                <w:highlight w:val="none"/>
              </w:rPr>
              <w:t>0</w:t>
            </w:r>
            <w:r>
              <w:rPr>
                <w:rFonts w:hint="eastAsia" w:ascii="宋体" w:hAnsi="宋体" w:cs="宋体"/>
                <w:color w:val="auto"/>
                <w:szCs w:val="21"/>
                <w:highlight w:val="none"/>
              </w:rPr>
              <w:t>人以下的，得1分。</w:t>
            </w:r>
          </w:p>
          <w:p w14:paraId="2424177D">
            <w:pPr>
              <w:autoSpaceDE w:val="0"/>
              <w:autoSpaceDN w:val="0"/>
              <w:adjustRightInd w:val="0"/>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、荣誉（5分）：近五年（2020-2025）获得全国性荣誉称号的，每次得3分；获得省级荣誉称号的，每次得2分；获得市级荣誉称号的，每次得1分。满分5分。</w:t>
            </w:r>
          </w:p>
          <w:p w14:paraId="41DA502A">
            <w:pPr>
              <w:autoSpaceDE w:val="0"/>
              <w:autoSpaceDN w:val="0"/>
              <w:adjustRightInd w:val="0"/>
              <w:spacing w:line="360" w:lineRule="auto"/>
              <w:jc w:val="left"/>
              <w:rPr>
                <w:rFonts w:ascii="宋体" w:hAnsi="宋体"/>
                <w:color w:val="auto"/>
                <w:highlight w:val="none"/>
              </w:rPr>
            </w:pPr>
            <w:r>
              <w:rPr>
                <w:rFonts w:hint="eastAsia" w:ascii="宋体" w:hAnsi="宋体" w:cs="宋体"/>
                <w:color w:val="auto"/>
                <w:szCs w:val="21"/>
                <w:highlight w:val="none"/>
              </w:rPr>
              <w:t>3、管理制度（1</w:t>
            </w:r>
            <w:r>
              <w:rPr>
                <w:rFonts w:ascii="宋体" w:hAnsi="宋体" w:cs="宋体"/>
                <w:color w:val="auto"/>
                <w:szCs w:val="21"/>
                <w:highlight w:val="none"/>
              </w:rPr>
              <w:t>0</w:t>
            </w:r>
            <w:r>
              <w:rPr>
                <w:rFonts w:hint="eastAsia" w:ascii="宋体" w:hAnsi="宋体" w:cs="宋体"/>
                <w:color w:val="auto"/>
                <w:szCs w:val="21"/>
                <w:highlight w:val="none"/>
              </w:rPr>
              <w:t>分）：提供供应商内部人员管理制度、质量控制制度、档案管理制度等方面进行综合评价，内部管控制度规范，满分10分。优秀得7-10分；良得4-6分；差得0-3分，未提供不得分。</w:t>
            </w:r>
          </w:p>
        </w:tc>
      </w:tr>
      <w:tr w14:paraId="06B8B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jc w:val="center"/>
        </w:trPr>
        <w:tc>
          <w:tcPr>
            <w:tcW w:w="709" w:type="dxa"/>
            <w:tcBorders>
              <w:tl2br w:val="nil"/>
              <w:tr2bl w:val="nil"/>
            </w:tcBorders>
            <w:vAlign w:val="center"/>
          </w:tcPr>
          <w:p w14:paraId="39152249">
            <w:pPr>
              <w:autoSpaceDE w:val="0"/>
              <w:autoSpaceDN w:val="0"/>
              <w:adjustRightInd w:val="0"/>
              <w:spacing w:line="360" w:lineRule="auto"/>
              <w:jc w:val="center"/>
              <w:rPr>
                <w:rFonts w:ascii="Times New Roman" w:hAnsi="宋体" w:cs="宋体"/>
                <w:color w:val="auto"/>
                <w:szCs w:val="21"/>
                <w:highlight w:val="none"/>
              </w:rPr>
            </w:pPr>
            <w:r>
              <w:rPr>
                <w:rFonts w:hint="eastAsia" w:ascii="Times New Roman" w:hAnsi="宋体" w:cs="宋体"/>
                <w:color w:val="auto"/>
                <w:szCs w:val="21"/>
                <w:highlight w:val="none"/>
              </w:rPr>
              <w:t>2</w:t>
            </w:r>
          </w:p>
        </w:tc>
        <w:tc>
          <w:tcPr>
            <w:tcW w:w="1562" w:type="dxa"/>
            <w:tcBorders>
              <w:tl2br w:val="nil"/>
              <w:tr2bl w:val="nil"/>
            </w:tcBorders>
            <w:vAlign w:val="center"/>
          </w:tcPr>
          <w:p w14:paraId="6FC3E38E">
            <w:pPr>
              <w:autoSpaceDE w:val="0"/>
              <w:autoSpaceDN w:val="0"/>
              <w:adjustRightInd w:val="0"/>
              <w:spacing w:line="360" w:lineRule="auto"/>
              <w:jc w:val="center"/>
              <w:rPr>
                <w:rFonts w:ascii="Times New Roman" w:hAnsi="宋体" w:cs="宋体"/>
                <w:color w:val="auto"/>
                <w:szCs w:val="21"/>
                <w:highlight w:val="none"/>
              </w:rPr>
            </w:pPr>
            <w:r>
              <w:rPr>
                <w:rFonts w:hint="eastAsia" w:ascii="Times New Roman" w:hAnsi="宋体" w:cs="宋体"/>
                <w:color w:val="auto"/>
                <w:szCs w:val="21"/>
                <w:highlight w:val="none"/>
              </w:rPr>
              <w:t>拟派本项目主办律师实力</w:t>
            </w:r>
          </w:p>
        </w:tc>
        <w:tc>
          <w:tcPr>
            <w:tcW w:w="653" w:type="dxa"/>
            <w:tcBorders>
              <w:tl2br w:val="nil"/>
              <w:tr2bl w:val="nil"/>
            </w:tcBorders>
            <w:vAlign w:val="center"/>
          </w:tcPr>
          <w:p w14:paraId="73DC3EE4">
            <w:pPr>
              <w:autoSpaceDE w:val="0"/>
              <w:autoSpaceDN w:val="0"/>
              <w:adjustRightInd w:val="0"/>
              <w:spacing w:line="360" w:lineRule="auto"/>
              <w:jc w:val="center"/>
              <w:rPr>
                <w:rFonts w:ascii="宋体" w:hAnsi="宋体" w:cs="宋体"/>
                <w:color w:val="auto"/>
                <w:szCs w:val="21"/>
                <w:highlight w:val="none"/>
              </w:rPr>
            </w:pPr>
            <w:r>
              <w:rPr>
                <w:rFonts w:ascii="Times New Roman" w:hAnsi="宋体" w:cs="宋体"/>
                <w:color w:val="auto"/>
                <w:szCs w:val="21"/>
                <w:highlight w:val="none"/>
              </w:rPr>
              <w:t>3</w:t>
            </w:r>
            <w:r>
              <w:rPr>
                <w:rFonts w:hint="eastAsia" w:ascii="Times New Roman" w:hAnsi="宋体" w:cs="宋体"/>
                <w:color w:val="auto"/>
                <w:szCs w:val="21"/>
                <w:highlight w:val="none"/>
              </w:rPr>
              <w:t>5分</w:t>
            </w:r>
          </w:p>
        </w:tc>
        <w:tc>
          <w:tcPr>
            <w:tcW w:w="6432" w:type="dxa"/>
            <w:tcBorders>
              <w:tl2br w:val="nil"/>
              <w:tr2bl w:val="nil"/>
            </w:tcBorders>
            <w:vAlign w:val="center"/>
          </w:tcPr>
          <w:p w14:paraId="2F6AE5F9">
            <w:pPr>
              <w:autoSpaceDE w:val="0"/>
              <w:autoSpaceDN w:val="0"/>
              <w:adjustRightInd w:val="0"/>
              <w:spacing w:line="360" w:lineRule="auto"/>
              <w:jc w:val="left"/>
              <w:rPr>
                <w:color w:val="auto"/>
                <w:highlight w:val="none"/>
              </w:rPr>
            </w:pPr>
            <w:r>
              <w:rPr>
                <w:rFonts w:hint="eastAsia" w:ascii="Times New Roman" w:hAnsi="Times New Roman" w:cs="宋体"/>
                <w:color w:val="auto"/>
                <w:szCs w:val="21"/>
                <w:highlight w:val="none"/>
              </w:rPr>
              <w:t>1</w:t>
            </w:r>
            <w:r>
              <w:rPr>
                <w:rFonts w:hint="eastAsia" w:ascii="Times New Roman" w:hAnsi="宋体" w:cs="宋体"/>
                <w:color w:val="auto"/>
                <w:szCs w:val="21"/>
                <w:highlight w:val="none"/>
              </w:rPr>
              <w:t>、</w:t>
            </w:r>
            <w:r>
              <w:rPr>
                <w:rFonts w:hint="eastAsia"/>
                <w:color w:val="auto"/>
                <w:highlight w:val="none"/>
              </w:rPr>
              <w:t>拟派本项目的主办律师执业年限满</w:t>
            </w:r>
            <w:r>
              <w:rPr>
                <w:color w:val="auto"/>
                <w:highlight w:val="none"/>
              </w:rPr>
              <w:t>5</w:t>
            </w:r>
            <w:r>
              <w:rPr>
                <w:rFonts w:hint="eastAsia"/>
                <w:color w:val="auto"/>
                <w:highlight w:val="none"/>
              </w:rPr>
              <w:t>年的得2分，</w:t>
            </w:r>
            <w:r>
              <w:rPr>
                <w:color w:val="auto"/>
                <w:highlight w:val="none"/>
              </w:rPr>
              <w:t>8</w:t>
            </w:r>
            <w:r>
              <w:rPr>
                <w:rFonts w:hint="eastAsia"/>
                <w:color w:val="auto"/>
                <w:highlight w:val="none"/>
              </w:rPr>
              <w:t>年以上的得4分，主办律师是中国共产党党员的得1分，</w:t>
            </w:r>
            <w:r>
              <w:rPr>
                <w:rFonts w:hint="eastAsia" w:ascii="Times New Roman" w:hAnsi="宋体" w:cs="宋体"/>
                <w:color w:val="auto"/>
                <w:szCs w:val="21"/>
                <w:highlight w:val="none"/>
              </w:rPr>
              <w:t>满分5分。</w:t>
            </w:r>
            <w:r>
              <w:rPr>
                <w:rFonts w:hint="eastAsia"/>
                <w:color w:val="auto"/>
                <w:highlight w:val="none"/>
              </w:rPr>
              <w:t>（提供执业证书等相应证明材料复印件，否则不计分）</w:t>
            </w:r>
          </w:p>
          <w:p w14:paraId="221D500F">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2、拟派本项目的</w:t>
            </w:r>
            <w:r>
              <w:rPr>
                <w:rFonts w:hint="eastAsia"/>
                <w:color w:val="auto"/>
                <w:highlight w:val="none"/>
              </w:rPr>
              <w:t>主办</w:t>
            </w:r>
            <w:r>
              <w:rPr>
                <w:rFonts w:hint="eastAsia" w:ascii="Times New Roman" w:hAnsi="宋体" w:cs="宋体"/>
                <w:color w:val="auto"/>
                <w:szCs w:val="21"/>
                <w:highlight w:val="none"/>
              </w:rPr>
              <w:t>律师近三年代理的行政复议案件、行政诉讼案件情况，每件计1分，案件胜诉的每件计2分，满分</w:t>
            </w:r>
            <w:r>
              <w:rPr>
                <w:rFonts w:ascii="Times New Roman" w:hAnsi="宋体" w:cs="宋体"/>
                <w:color w:val="auto"/>
                <w:szCs w:val="21"/>
                <w:highlight w:val="none"/>
              </w:rPr>
              <w:t>20</w:t>
            </w:r>
            <w:r>
              <w:rPr>
                <w:rFonts w:hint="eastAsia" w:ascii="Times New Roman" w:hAnsi="宋体" w:cs="宋体"/>
                <w:color w:val="auto"/>
                <w:szCs w:val="21"/>
                <w:highlight w:val="none"/>
              </w:rPr>
              <w:t>分。</w:t>
            </w:r>
          </w:p>
          <w:p w14:paraId="73484D77">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（提供主办案件列表、法律文书等证明材料复印件）</w:t>
            </w:r>
          </w:p>
          <w:p w14:paraId="606D0080">
            <w:pPr>
              <w:numPr>
                <w:ilvl w:val="0"/>
                <w:numId w:val="1"/>
              </w:numPr>
              <w:autoSpaceDE w:val="0"/>
              <w:autoSpaceDN w:val="0"/>
              <w:adjustRightInd w:val="0"/>
              <w:spacing w:line="360" w:lineRule="auto"/>
              <w:rPr>
                <w:color w:val="auto"/>
                <w:highlight w:val="none"/>
              </w:rPr>
            </w:pPr>
            <w:r>
              <w:rPr>
                <w:rFonts w:hint="eastAsia" w:ascii="Times New Roman" w:hAnsi="宋体" w:cs="宋体"/>
                <w:color w:val="auto"/>
                <w:szCs w:val="21"/>
                <w:highlight w:val="none"/>
              </w:rPr>
              <w:t>拟派本项目的主办律师近三年担任过党政机关、人民团体法律顾问的，每有一项得1分；拟派本项目的</w:t>
            </w:r>
            <w:r>
              <w:rPr>
                <w:rFonts w:hint="eastAsia"/>
                <w:color w:val="auto"/>
                <w:highlight w:val="none"/>
              </w:rPr>
              <w:t>主办</w:t>
            </w:r>
            <w:r>
              <w:rPr>
                <w:rFonts w:hint="eastAsia" w:ascii="Times New Roman" w:hAnsi="宋体" w:cs="宋体"/>
                <w:color w:val="auto"/>
                <w:szCs w:val="21"/>
                <w:highlight w:val="none"/>
              </w:rPr>
              <w:t>律师近三年有医疗保障案件相关工作承办经验的，每有一件得2分。</w:t>
            </w:r>
            <w:r>
              <w:rPr>
                <w:rFonts w:hint="eastAsia" w:ascii="宋体" w:hAnsi="宋体" w:cs="宋体"/>
                <w:color w:val="auto"/>
                <w:szCs w:val="21"/>
                <w:highlight w:val="none"/>
              </w:rPr>
              <w:t>满分10分。</w:t>
            </w:r>
            <w:r>
              <w:rPr>
                <w:rFonts w:hint="eastAsia" w:ascii="Times New Roman" w:hAnsi="宋体" w:cs="宋体"/>
                <w:color w:val="auto"/>
                <w:szCs w:val="21"/>
                <w:highlight w:val="none"/>
              </w:rPr>
              <w:t>（提供承办案件列表、法律文书等证明材料复印件；同一单位的多份法律顾问合同不重复计算）。</w:t>
            </w:r>
          </w:p>
          <w:p w14:paraId="3516801C">
            <w:pPr>
              <w:autoSpaceDE w:val="0"/>
              <w:autoSpaceDN w:val="0"/>
              <w:adjustRightInd w:val="0"/>
              <w:spacing w:line="360" w:lineRule="auto"/>
              <w:jc w:val="left"/>
              <w:rPr>
                <w:color w:val="auto"/>
                <w:highlight w:val="none"/>
              </w:rPr>
            </w:pPr>
            <w:r>
              <w:rPr>
                <w:rFonts w:hint="eastAsia" w:ascii="Times New Roman" w:hAnsi="宋体" w:cs="宋体"/>
                <w:color w:val="auto"/>
                <w:szCs w:val="21"/>
                <w:highlight w:val="none"/>
              </w:rPr>
              <w:t>（提供聘书或顾问合同或其他相关证明材料的复印件。</w:t>
            </w:r>
            <w:r>
              <w:rPr>
                <w:rFonts w:hint="eastAsia" w:ascii="Times New Roman" w:hAnsi="宋体" w:cs="宋体"/>
                <w:b/>
                <w:color w:val="auto"/>
                <w:szCs w:val="21"/>
                <w:highlight w:val="none"/>
              </w:rPr>
              <w:t>注：供应商响应文件中提供的相关证明材料如未显示具体人员信息，同时须提供服务单位（甲方）出具的书面证明材料。）</w:t>
            </w:r>
          </w:p>
        </w:tc>
      </w:tr>
      <w:tr w14:paraId="7054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jc w:val="center"/>
        </w:trPr>
        <w:tc>
          <w:tcPr>
            <w:tcW w:w="709" w:type="dxa"/>
            <w:tcBorders>
              <w:tl2br w:val="nil"/>
              <w:tr2bl w:val="nil"/>
            </w:tcBorders>
            <w:vAlign w:val="center"/>
          </w:tcPr>
          <w:p w14:paraId="3A717AE9">
            <w:pPr>
              <w:autoSpaceDE w:val="0"/>
              <w:autoSpaceDN w:val="0"/>
              <w:adjustRightInd w:val="0"/>
              <w:spacing w:line="360" w:lineRule="auto"/>
              <w:jc w:val="center"/>
              <w:rPr>
                <w:rFonts w:ascii="Times New Roman" w:hAnsi="宋体" w:cs="宋体"/>
                <w:color w:val="auto"/>
                <w:szCs w:val="21"/>
                <w:highlight w:val="none"/>
              </w:rPr>
            </w:pPr>
            <w:r>
              <w:rPr>
                <w:rFonts w:hint="eastAsia" w:ascii="Times New Roman" w:hAnsi="宋体" w:cs="宋体"/>
                <w:color w:val="auto"/>
                <w:szCs w:val="21"/>
                <w:highlight w:val="none"/>
              </w:rPr>
              <w:t>3</w:t>
            </w:r>
          </w:p>
        </w:tc>
        <w:tc>
          <w:tcPr>
            <w:tcW w:w="1562" w:type="dxa"/>
            <w:tcBorders>
              <w:tl2br w:val="nil"/>
              <w:tr2bl w:val="nil"/>
            </w:tcBorders>
            <w:vAlign w:val="center"/>
          </w:tcPr>
          <w:p w14:paraId="70A905DC">
            <w:pPr>
              <w:autoSpaceDE w:val="0"/>
              <w:autoSpaceDN w:val="0"/>
              <w:adjustRightInd w:val="0"/>
              <w:spacing w:line="360" w:lineRule="auto"/>
              <w:jc w:val="center"/>
              <w:rPr>
                <w:rFonts w:ascii="Times New Roman" w:hAnsi="宋体" w:cs="宋体"/>
                <w:color w:val="auto"/>
                <w:szCs w:val="21"/>
                <w:highlight w:val="none"/>
              </w:rPr>
            </w:pPr>
            <w:r>
              <w:rPr>
                <w:rFonts w:hint="eastAsia" w:ascii="Times New Roman" w:hAnsi="宋体" w:cs="宋体"/>
                <w:color w:val="auto"/>
                <w:szCs w:val="21"/>
                <w:highlight w:val="none"/>
              </w:rPr>
              <w:t>服务方案及服务承诺</w:t>
            </w:r>
          </w:p>
        </w:tc>
        <w:tc>
          <w:tcPr>
            <w:tcW w:w="653" w:type="dxa"/>
            <w:tcBorders>
              <w:tl2br w:val="nil"/>
              <w:tr2bl w:val="nil"/>
            </w:tcBorders>
            <w:vAlign w:val="center"/>
          </w:tcPr>
          <w:p w14:paraId="03E3C369">
            <w:pPr>
              <w:autoSpaceDE w:val="0"/>
              <w:autoSpaceDN w:val="0"/>
              <w:adjustRightInd w:val="0"/>
              <w:spacing w:line="360" w:lineRule="auto"/>
              <w:jc w:val="center"/>
              <w:rPr>
                <w:rFonts w:ascii="Times New Roman" w:hAnsi="宋体" w:cs="宋体"/>
                <w:color w:val="auto"/>
                <w:szCs w:val="21"/>
                <w:highlight w:val="none"/>
              </w:rPr>
            </w:pPr>
            <w:r>
              <w:rPr>
                <w:rFonts w:hint="eastAsia" w:ascii="Times New Roman" w:hAnsi="宋体" w:cs="宋体"/>
                <w:color w:val="auto"/>
                <w:szCs w:val="21"/>
                <w:highlight w:val="none"/>
              </w:rPr>
              <w:t>2</w:t>
            </w:r>
            <w:r>
              <w:rPr>
                <w:rFonts w:ascii="Times New Roman" w:hAnsi="宋体" w:cs="宋体"/>
                <w:color w:val="auto"/>
                <w:szCs w:val="21"/>
                <w:highlight w:val="none"/>
              </w:rPr>
              <w:t>5</w:t>
            </w:r>
            <w:r>
              <w:rPr>
                <w:rFonts w:hint="eastAsia" w:ascii="Times New Roman" w:hAnsi="宋体" w:cs="宋体"/>
                <w:color w:val="auto"/>
                <w:szCs w:val="21"/>
                <w:highlight w:val="none"/>
              </w:rPr>
              <w:t>分</w:t>
            </w:r>
          </w:p>
        </w:tc>
        <w:tc>
          <w:tcPr>
            <w:tcW w:w="6432" w:type="dxa"/>
            <w:tcBorders>
              <w:tl2br w:val="nil"/>
              <w:tr2bl w:val="nil"/>
            </w:tcBorders>
            <w:vAlign w:val="center"/>
          </w:tcPr>
          <w:p w14:paraId="1FB0CBD1">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服务方案应包括：提供法律顾问服务的律师团队成员；围绕采购单位工作所需要的服务内容；工作响应及实施方案；服务质量保证措施、</w:t>
            </w:r>
            <w:r>
              <w:rPr>
                <w:rFonts w:hint="eastAsia" w:ascii="宋体" w:hAnsi="宋体" w:cs="宋体"/>
                <w:color w:val="auto"/>
                <w:szCs w:val="21"/>
                <w:highlight w:val="none"/>
              </w:rPr>
              <w:t>特殊事件或紧急情况的响应方案、服务承诺</w:t>
            </w:r>
            <w:r>
              <w:rPr>
                <w:rFonts w:hint="eastAsia" w:ascii="Times New Roman" w:hAnsi="宋体" w:cs="宋体"/>
                <w:color w:val="auto"/>
                <w:szCs w:val="21"/>
                <w:highlight w:val="none"/>
              </w:rPr>
              <w:t>等。</w:t>
            </w:r>
          </w:p>
          <w:p w14:paraId="6011CA75">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服务方案全面详实，科学合理，可行性、针对性强，完全符合整体工作需求的得1</w:t>
            </w:r>
            <w:r>
              <w:rPr>
                <w:rFonts w:ascii="Times New Roman" w:hAnsi="宋体" w:cs="宋体"/>
                <w:color w:val="auto"/>
                <w:szCs w:val="21"/>
                <w:highlight w:val="none"/>
              </w:rPr>
              <w:t>8</w:t>
            </w:r>
            <w:r>
              <w:rPr>
                <w:rFonts w:hint="eastAsia" w:ascii="Times New Roman" w:hAnsi="宋体" w:cs="宋体"/>
                <w:color w:val="auto"/>
                <w:szCs w:val="21"/>
                <w:highlight w:val="none"/>
              </w:rPr>
              <w:t>-2</w:t>
            </w:r>
            <w:r>
              <w:rPr>
                <w:rFonts w:ascii="Times New Roman" w:hAnsi="宋体" w:cs="宋体"/>
                <w:color w:val="auto"/>
                <w:szCs w:val="21"/>
                <w:highlight w:val="none"/>
              </w:rPr>
              <w:t>5</w:t>
            </w:r>
            <w:r>
              <w:rPr>
                <w:rFonts w:hint="eastAsia" w:ascii="Times New Roman" w:hAnsi="宋体" w:cs="宋体"/>
                <w:color w:val="auto"/>
                <w:szCs w:val="21"/>
                <w:highlight w:val="none"/>
              </w:rPr>
              <w:t>分；</w:t>
            </w:r>
          </w:p>
          <w:p w14:paraId="3DE38EDD">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服务方案比较全面详实，科学合理性较强，可行性、针对性较强，基本符合整体工作需求的得</w:t>
            </w:r>
            <w:r>
              <w:rPr>
                <w:rFonts w:ascii="Times New Roman" w:hAnsi="宋体" w:cs="宋体"/>
                <w:color w:val="auto"/>
                <w:szCs w:val="21"/>
                <w:highlight w:val="none"/>
              </w:rPr>
              <w:t>9</w:t>
            </w:r>
            <w:r>
              <w:rPr>
                <w:rFonts w:hint="eastAsia" w:ascii="Times New Roman" w:hAnsi="宋体" w:cs="宋体"/>
                <w:color w:val="auto"/>
                <w:szCs w:val="21"/>
                <w:highlight w:val="none"/>
              </w:rPr>
              <w:t>-1</w:t>
            </w:r>
            <w:r>
              <w:rPr>
                <w:rFonts w:ascii="Times New Roman" w:hAnsi="宋体" w:cs="宋体"/>
                <w:color w:val="auto"/>
                <w:szCs w:val="21"/>
                <w:highlight w:val="none"/>
              </w:rPr>
              <w:t>7</w:t>
            </w:r>
            <w:r>
              <w:rPr>
                <w:rFonts w:hint="eastAsia" w:ascii="Times New Roman" w:hAnsi="宋体" w:cs="宋体"/>
                <w:color w:val="auto"/>
                <w:szCs w:val="21"/>
                <w:highlight w:val="none"/>
              </w:rPr>
              <w:t>分；</w:t>
            </w:r>
          </w:p>
          <w:p w14:paraId="3B07756F">
            <w:pPr>
              <w:autoSpaceDE w:val="0"/>
              <w:autoSpaceDN w:val="0"/>
              <w:adjustRightInd w:val="0"/>
              <w:spacing w:line="360" w:lineRule="auto"/>
              <w:jc w:val="left"/>
              <w:rPr>
                <w:rFonts w:ascii="Times New Roman" w:hAnsi="宋体" w:cs="宋体"/>
                <w:color w:val="auto"/>
                <w:szCs w:val="21"/>
                <w:highlight w:val="none"/>
              </w:rPr>
            </w:pPr>
            <w:r>
              <w:rPr>
                <w:rFonts w:hint="eastAsia" w:ascii="Times New Roman" w:hAnsi="宋体" w:cs="宋体"/>
                <w:color w:val="auto"/>
                <w:szCs w:val="21"/>
                <w:highlight w:val="none"/>
              </w:rPr>
              <w:t>服务方案不够全面，科学合理性一般，可行性、针对性一般，不够符合整体工作需求的得1-</w:t>
            </w:r>
            <w:r>
              <w:rPr>
                <w:rFonts w:ascii="Times New Roman" w:hAnsi="宋体" w:cs="宋体"/>
                <w:color w:val="auto"/>
                <w:szCs w:val="21"/>
                <w:highlight w:val="none"/>
              </w:rPr>
              <w:t>8</w:t>
            </w:r>
            <w:r>
              <w:rPr>
                <w:rFonts w:hint="eastAsia" w:ascii="Times New Roman" w:hAnsi="宋体" w:cs="宋体"/>
                <w:color w:val="auto"/>
                <w:szCs w:val="21"/>
                <w:highlight w:val="none"/>
              </w:rPr>
              <w:t>分；</w:t>
            </w:r>
          </w:p>
          <w:p w14:paraId="5E417943">
            <w:pPr>
              <w:autoSpaceDE w:val="0"/>
              <w:autoSpaceDN w:val="0"/>
              <w:adjustRightInd w:val="0"/>
              <w:spacing w:line="360" w:lineRule="auto"/>
              <w:jc w:val="left"/>
              <w:rPr>
                <w:rFonts w:ascii="Times New Roman" w:hAnsi="宋体" w:cs="宋体"/>
                <w:color w:val="auto"/>
                <w:szCs w:val="21"/>
                <w:highlight w:val="none"/>
              </w:rPr>
            </w:pPr>
            <w:r>
              <w:rPr>
                <w:rFonts w:hint="eastAsia" w:ascii="宋体" w:hAnsi="宋体" w:cs="宋体"/>
                <w:color w:val="auto"/>
                <w:szCs w:val="21"/>
                <w:highlight w:val="none"/>
              </w:rPr>
              <w:t>内容较差或未提供的得</w:t>
            </w:r>
            <w:r>
              <w:rPr>
                <w:rFonts w:hint="eastAsia" w:cs="宋体"/>
                <w:color w:val="auto"/>
                <w:szCs w:val="21"/>
                <w:highlight w:val="none"/>
              </w:rPr>
              <w:t>0</w:t>
            </w:r>
            <w:r>
              <w:rPr>
                <w:rFonts w:hint="eastAsia" w:ascii="宋体" w:hAnsi="宋体" w:cs="宋体"/>
                <w:color w:val="auto"/>
                <w:szCs w:val="21"/>
                <w:highlight w:val="none"/>
              </w:rPr>
              <w:t>分。</w:t>
            </w:r>
          </w:p>
        </w:tc>
      </w:tr>
    </w:tbl>
    <w:p w14:paraId="77B1BF8A">
      <w:pPr>
        <w:pStyle w:val="41"/>
        <w:spacing w:before="0" w:after="0"/>
        <w:ind w:left="0" w:right="0" w:firstLine="482" w:firstLineChars="200"/>
        <w:jc w:val="both"/>
        <w:rPr>
          <w:rFonts w:ascii="Times New Roman" w:hAnsi="Times New Roman" w:cs="宋体"/>
          <w:b/>
          <w:bCs/>
        </w:rPr>
      </w:pPr>
      <w:r>
        <w:rPr>
          <w:rFonts w:hint="eastAsia" w:ascii="Times New Roman" w:hAnsi="Times New Roman" w:cs="宋体"/>
          <w:b/>
          <w:bCs/>
          <w:color w:val="auto"/>
          <w:highlight w:val="none"/>
        </w:rPr>
        <w:t>注：投标供应商提供以上所需相关证明材料的复印件，并加盖公章</w:t>
      </w:r>
      <w:r>
        <w:rPr>
          <w:rFonts w:hint="eastAsia" w:ascii="Times New Roman" w:hAnsi="Times New Roman" w:cs="宋体"/>
          <w:b/>
          <w:bCs/>
        </w:rPr>
        <w:t>。</w:t>
      </w:r>
    </w:p>
    <w:p w14:paraId="464D8EDF">
      <w:pPr>
        <w:pStyle w:val="41"/>
        <w:spacing w:before="0" w:after="0"/>
        <w:ind w:left="0" w:right="0" w:firstLineChars="200"/>
        <w:jc w:val="both"/>
        <w:rPr>
          <w:rFonts w:ascii="Times New Roman" w:hAnsi="Times New Roman" w:cs="宋体"/>
        </w:rPr>
      </w:pPr>
      <w:r>
        <w:rPr>
          <w:rFonts w:hint="eastAsia" w:ascii="Times New Roman" w:hAnsi="Times New Roman" w:cs="宋体"/>
        </w:rPr>
        <w:t>（二）商务报价分：（20分）</w:t>
      </w:r>
    </w:p>
    <w:p w14:paraId="13DE7A14">
      <w:pPr>
        <w:pStyle w:val="41"/>
        <w:spacing w:before="0" w:after="0"/>
        <w:ind w:left="0" w:right="0" w:firstLine="482" w:firstLineChars="200"/>
        <w:jc w:val="both"/>
        <w:rPr>
          <w:rFonts w:ascii="Times New Roman" w:hAnsi="Times New Roman" w:cs="宋体"/>
        </w:rPr>
      </w:pPr>
      <w:r>
        <w:rPr>
          <w:rFonts w:hint="eastAsia" w:ascii="Times New Roman" w:hAnsi="Times New Roman" w:cs="宋体"/>
          <w:b/>
          <w:bCs/>
        </w:rPr>
        <w:t>1、法律顾问服务费最高限价为3万元/年，超过限价作无效标处理。单独计费项无需报价。</w:t>
      </w:r>
    </w:p>
    <w:p w14:paraId="2495B67C">
      <w:pPr>
        <w:pStyle w:val="41"/>
        <w:spacing w:before="0" w:after="0"/>
        <w:ind w:left="0" w:right="0" w:firstLineChars="200"/>
        <w:jc w:val="both"/>
        <w:rPr>
          <w:rFonts w:ascii="Times New Roman" w:hAnsi="Times New Roman" w:cs="宋体"/>
        </w:rPr>
      </w:pPr>
      <w:r>
        <w:rPr>
          <w:rFonts w:hint="eastAsia" w:ascii="Times New Roman" w:hAnsi="Times New Roman" w:cs="宋体"/>
        </w:rPr>
        <w:t>2、满足磋商文件要求且</w:t>
      </w:r>
      <w:r>
        <w:rPr>
          <w:rFonts w:hint="eastAsia" w:ascii="Times New Roman" w:hAnsi="Times New Roman" w:cs="宋体"/>
          <w:b/>
          <w:bCs/>
        </w:rPr>
        <w:t>法律顾问服务费</w:t>
      </w:r>
      <w:r>
        <w:rPr>
          <w:rFonts w:hint="eastAsia" w:ascii="Times New Roman" w:hAnsi="Times New Roman" w:cs="宋体"/>
        </w:rPr>
        <w:t>的报价为评标基准价，其价格标得分为满分。</w:t>
      </w:r>
    </w:p>
    <w:p w14:paraId="0AB0FB31">
      <w:pPr>
        <w:pStyle w:val="41"/>
        <w:spacing w:before="0" w:after="0"/>
        <w:ind w:left="0" w:right="0" w:firstLineChars="200"/>
        <w:jc w:val="both"/>
        <w:rPr>
          <w:rFonts w:ascii="Times New Roman" w:hAnsi="Times New Roman" w:cs="宋体"/>
        </w:rPr>
      </w:pPr>
      <w:r>
        <w:rPr>
          <w:rFonts w:hint="eastAsia" w:ascii="Times New Roman" w:hAnsi="Times New Roman" w:cs="宋体"/>
        </w:rPr>
        <w:t>3、其他投标供应商的价格标得分按照下列公式计算：</w:t>
      </w:r>
    </w:p>
    <w:p w14:paraId="5C626749">
      <w:pPr>
        <w:pStyle w:val="41"/>
        <w:spacing w:before="0" w:after="0"/>
        <w:ind w:left="0" w:right="0" w:firstLine="482" w:firstLineChars="200"/>
        <w:jc w:val="both"/>
        <w:rPr>
          <w:rFonts w:ascii="Times New Roman" w:hAnsi="Times New Roman" w:cs="宋体"/>
          <w:b/>
          <w:bCs/>
        </w:rPr>
      </w:pPr>
      <w:r>
        <w:rPr>
          <w:rFonts w:hint="eastAsia" w:ascii="Times New Roman" w:hAnsi="Times New Roman" w:cs="宋体"/>
          <w:b/>
          <w:bCs/>
        </w:rPr>
        <w:t>价格标得分 =（评标基准价/投标报价）×20%×100</w:t>
      </w:r>
    </w:p>
    <w:p w14:paraId="3B9EF4C2">
      <w:pPr>
        <w:pStyle w:val="41"/>
        <w:spacing w:before="0" w:after="0"/>
        <w:ind w:left="0" w:right="0" w:firstLineChars="200"/>
        <w:jc w:val="both"/>
        <w:rPr>
          <w:rFonts w:ascii="Times New Roman" w:hAnsi="Times New Roman" w:cs="宋体"/>
        </w:rPr>
      </w:pPr>
      <w:r>
        <w:rPr>
          <w:rFonts w:hint="eastAsia" w:ascii="Times New Roman" w:hAnsi="Times New Roman" w:cs="宋体"/>
        </w:rPr>
        <w:t>项目评审过程中，不得去掉最后报价中的最高报价和最低报价。</w:t>
      </w:r>
    </w:p>
    <w:p w14:paraId="6615C04B">
      <w:pPr>
        <w:pStyle w:val="41"/>
        <w:spacing w:before="0" w:after="0"/>
        <w:ind w:left="0" w:right="0" w:firstLineChars="200"/>
        <w:jc w:val="both"/>
        <w:rPr>
          <w:rFonts w:ascii="Times New Roman" w:hAnsi="Times New Roman"/>
          <w:bCs/>
          <w:kern w:val="2"/>
        </w:rPr>
      </w:pPr>
      <w:r>
        <w:rPr>
          <w:rFonts w:hint="eastAsia" w:ascii="Times New Roman" w:hAnsi="Times New Roman"/>
          <w:bCs/>
          <w:kern w:val="2"/>
        </w:rPr>
        <w:t>上述需由供应商提供佐证材料，因供应商未提供而导致不利后果的，由供应商承担。</w:t>
      </w:r>
    </w:p>
    <w:p w14:paraId="59AB4B13">
      <w:pPr>
        <w:pStyle w:val="41"/>
        <w:spacing w:before="0" w:after="0"/>
        <w:ind w:left="0" w:right="0" w:firstLine="482" w:firstLineChars="200"/>
        <w:jc w:val="both"/>
        <w:rPr>
          <w:rFonts w:ascii="Times New Roman" w:hAnsi="Times New Roman" w:cs="宋体"/>
          <w:b/>
        </w:rPr>
      </w:pPr>
      <w:r>
        <w:rPr>
          <w:rFonts w:hint="eastAsia" w:ascii="Times New Roman" w:hAnsi="Times New Roman" w:cs="宋体"/>
          <w:b/>
        </w:rPr>
        <w:t>五、出现下列情形之一的，作无效标处理</w:t>
      </w:r>
    </w:p>
    <w:p w14:paraId="09AF4ACC">
      <w:pPr>
        <w:pStyle w:val="41"/>
        <w:spacing w:before="0" w:after="0"/>
        <w:ind w:left="0" w:right="0" w:firstLineChars="200"/>
        <w:jc w:val="both"/>
        <w:rPr>
          <w:rFonts w:ascii="Times New Roman" w:hAnsi="Times New Roman" w:cs="宋体"/>
        </w:rPr>
      </w:pPr>
      <w:r>
        <w:rPr>
          <w:rFonts w:hint="eastAsia" w:ascii="Times New Roman" w:hAnsi="Times New Roman" w:cs="宋体"/>
        </w:rPr>
        <w:t>1、未按规定时间、数额、规定形式提交磋商</w:t>
      </w:r>
      <w:r>
        <w:rPr>
          <w:rFonts w:hint="eastAsia" w:ascii="Times New Roman" w:hAnsi="Times New Roman"/>
          <w:bCs/>
          <w:kern w:val="2"/>
        </w:rPr>
        <w:t>保证金</w:t>
      </w:r>
      <w:r>
        <w:rPr>
          <w:rFonts w:hint="eastAsia" w:ascii="Times New Roman" w:hAnsi="Times New Roman" w:cs="宋体"/>
        </w:rPr>
        <w:t>的；</w:t>
      </w:r>
    </w:p>
    <w:p w14:paraId="5C43A915">
      <w:pPr>
        <w:pStyle w:val="41"/>
        <w:spacing w:before="0" w:after="0"/>
        <w:ind w:left="0" w:right="0" w:firstLineChars="200"/>
        <w:jc w:val="both"/>
        <w:rPr>
          <w:rFonts w:ascii="Times New Roman" w:hAnsi="Times New Roman" w:cs="宋体"/>
        </w:rPr>
      </w:pPr>
      <w:r>
        <w:rPr>
          <w:rFonts w:hint="eastAsia" w:ascii="Times New Roman" w:hAnsi="Times New Roman" w:cs="宋体"/>
        </w:rPr>
        <w:t>2、响应文件未按规定要求装订、</w:t>
      </w:r>
      <w:r>
        <w:rPr>
          <w:rFonts w:hint="eastAsia" w:ascii="Times New Roman" w:hAnsi="Times New Roman"/>
          <w:bCs/>
          <w:kern w:val="2"/>
        </w:rPr>
        <w:t>密封</w:t>
      </w:r>
      <w:r>
        <w:rPr>
          <w:rFonts w:hint="eastAsia" w:ascii="Times New Roman" w:hAnsi="Times New Roman" w:cs="宋体"/>
        </w:rPr>
        <w:t>、签署、盖章及主要资料不齐全的；</w:t>
      </w:r>
    </w:p>
    <w:p w14:paraId="4B01F258">
      <w:pPr>
        <w:pStyle w:val="41"/>
        <w:spacing w:before="0" w:after="0"/>
        <w:ind w:left="0" w:right="0" w:firstLineChars="200"/>
        <w:jc w:val="both"/>
        <w:rPr>
          <w:rFonts w:ascii="Times New Roman" w:hAnsi="Times New Roman" w:cs="宋体"/>
        </w:rPr>
      </w:pPr>
      <w:r>
        <w:rPr>
          <w:rFonts w:hint="eastAsia" w:ascii="Times New Roman" w:hAnsi="Times New Roman" w:cs="宋体"/>
        </w:rPr>
        <w:t>3、响应文件的资料有虚报或者谎报的；</w:t>
      </w:r>
    </w:p>
    <w:p w14:paraId="05E2102D">
      <w:pPr>
        <w:pStyle w:val="41"/>
        <w:spacing w:before="0" w:after="0"/>
        <w:ind w:left="0" w:right="0" w:firstLineChars="200"/>
        <w:jc w:val="both"/>
        <w:rPr>
          <w:rFonts w:ascii="Times New Roman" w:hAnsi="Times New Roman" w:cs="宋体"/>
        </w:rPr>
      </w:pPr>
      <w:r>
        <w:rPr>
          <w:rFonts w:hint="eastAsia" w:ascii="Times New Roman" w:hAnsi="Times New Roman" w:cs="宋体"/>
        </w:rPr>
        <w:t>4、响应文件中资格审查文件及技术响应文件出现磋商报价的内容；</w:t>
      </w:r>
    </w:p>
    <w:p w14:paraId="5386ABF9">
      <w:pPr>
        <w:pStyle w:val="41"/>
        <w:spacing w:before="0" w:after="0"/>
        <w:ind w:left="0" w:right="0" w:firstLineChars="200"/>
        <w:jc w:val="both"/>
        <w:rPr>
          <w:rFonts w:ascii="Times New Roman" w:hAnsi="Times New Roman" w:cs="宋体"/>
        </w:rPr>
      </w:pPr>
      <w:r>
        <w:rPr>
          <w:rFonts w:hint="eastAsia" w:ascii="Times New Roman" w:hAnsi="Times New Roman" w:cs="宋体"/>
        </w:rPr>
        <w:t>5、不具备磋商文件规定的资格要求的；</w:t>
      </w:r>
    </w:p>
    <w:p w14:paraId="688BAD50">
      <w:pPr>
        <w:pStyle w:val="41"/>
        <w:spacing w:before="0" w:after="0"/>
        <w:ind w:left="0" w:right="0" w:firstLineChars="200"/>
        <w:jc w:val="both"/>
        <w:rPr>
          <w:rFonts w:ascii="Times New Roman" w:hAnsi="Times New Roman" w:cs="宋体"/>
        </w:rPr>
      </w:pPr>
      <w:r>
        <w:rPr>
          <w:rFonts w:hint="eastAsia" w:ascii="Times New Roman" w:hAnsi="Times New Roman" w:cs="宋体"/>
        </w:rPr>
        <w:t>6、响应文件有重大漏项或重大不合理的；</w:t>
      </w:r>
    </w:p>
    <w:p w14:paraId="73FE657F">
      <w:pPr>
        <w:pStyle w:val="41"/>
        <w:spacing w:before="0" w:after="0"/>
        <w:ind w:left="0" w:right="0" w:firstLineChars="200"/>
        <w:jc w:val="both"/>
        <w:rPr>
          <w:rFonts w:ascii="Times New Roman" w:hAnsi="Times New Roman" w:cs="宋体"/>
        </w:rPr>
      </w:pPr>
      <w:r>
        <w:rPr>
          <w:rFonts w:hint="eastAsia" w:ascii="Times New Roman" w:hAnsi="Times New Roman" w:cs="宋体"/>
        </w:rPr>
        <w:t>7、项目技术、方案不满足项目需求中的要求，有重大偏离或保留的；</w:t>
      </w:r>
    </w:p>
    <w:p w14:paraId="2011EC18">
      <w:pPr>
        <w:pStyle w:val="41"/>
        <w:spacing w:before="0" w:after="0"/>
        <w:ind w:left="0" w:right="0" w:firstLineChars="200"/>
        <w:jc w:val="both"/>
        <w:rPr>
          <w:rFonts w:ascii="Times New Roman" w:hAnsi="Times New Roman" w:cs="宋体"/>
        </w:rPr>
      </w:pPr>
      <w:r>
        <w:rPr>
          <w:rFonts w:hint="eastAsia" w:ascii="Times New Roman" w:hAnsi="Times New Roman" w:cs="宋体"/>
        </w:rPr>
        <w:t>8、磋商响应报价超出项目预算的；</w:t>
      </w:r>
    </w:p>
    <w:p w14:paraId="21A90CEE">
      <w:pPr>
        <w:pStyle w:val="41"/>
        <w:spacing w:before="0" w:after="0"/>
        <w:ind w:left="0" w:right="0" w:firstLineChars="200"/>
        <w:jc w:val="both"/>
        <w:rPr>
          <w:rFonts w:ascii="Times New Roman" w:hAnsi="Times New Roman" w:cs="宋体"/>
        </w:rPr>
      </w:pPr>
      <w:r>
        <w:rPr>
          <w:rFonts w:hint="eastAsia" w:ascii="Times New Roman" w:hAnsi="Times New Roman" w:cs="宋体"/>
        </w:rPr>
        <w:t>9、被认定为低于成本报价磋商竞标的；</w:t>
      </w:r>
    </w:p>
    <w:p w14:paraId="30251DBA">
      <w:pPr>
        <w:pStyle w:val="41"/>
        <w:spacing w:before="0" w:after="0"/>
        <w:ind w:left="0" w:right="0" w:firstLineChars="200"/>
        <w:jc w:val="both"/>
        <w:rPr>
          <w:rFonts w:ascii="Times New Roman" w:hAnsi="Times New Roman" w:cs="宋体"/>
        </w:rPr>
      </w:pPr>
      <w:r>
        <w:rPr>
          <w:rFonts w:hint="eastAsia" w:ascii="Times New Roman" w:hAnsi="Times New Roman" w:cs="宋体"/>
        </w:rPr>
        <w:t>10、供应商的磋商报价高于自己前一轮的；</w:t>
      </w:r>
    </w:p>
    <w:p w14:paraId="049442BD">
      <w:pPr>
        <w:pStyle w:val="41"/>
        <w:spacing w:before="0" w:after="0"/>
        <w:ind w:left="0" w:right="0" w:firstLineChars="200"/>
        <w:jc w:val="both"/>
        <w:rPr>
          <w:rFonts w:ascii="Times New Roman" w:hAnsi="Times New Roman" w:cs="宋体"/>
        </w:rPr>
      </w:pPr>
      <w:r>
        <w:rPr>
          <w:rFonts w:hint="eastAsia" w:ascii="Times New Roman" w:hAnsi="Times New Roman" w:cs="宋体"/>
        </w:rPr>
        <w:t>11、不符合法律、法规和磋商文件中规定的其他实质性响应要求的；</w:t>
      </w:r>
    </w:p>
    <w:p w14:paraId="22EA052C">
      <w:pPr>
        <w:pStyle w:val="41"/>
        <w:spacing w:before="0" w:after="0"/>
        <w:ind w:left="0" w:right="0" w:firstLineChars="200"/>
        <w:jc w:val="both"/>
        <w:rPr>
          <w:rFonts w:ascii="Times New Roman" w:hAnsi="Times New Roman" w:cs="宋体"/>
        </w:rPr>
      </w:pPr>
      <w:r>
        <w:rPr>
          <w:rFonts w:hint="eastAsia" w:ascii="Times New Roman" w:hAnsi="Times New Roman" w:cs="宋体"/>
        </w:rPr>
        <w:t>12、磋商小组依据法律法规可以认定为无效投标的其他情况；</w:t>
      </w:r>
    </w:p>
    <w:p w14:paraId="4C86747F">
      <w:pPr>
        <w:pStyle w:val="41"/>
        <w:spacing w:before="0" w:after="0"/>
        <w:ind w:left="0" w:right="0" w:firstLineChars="200"/>
        <w:jc w:val="both"/>
        <w:rPr>
          <w:rFonts w:ascii="Times New Roman" w:hAnsi="Times New Roman" w:cs="宋体"/>
        </w:rPr>
      </w:pPr>
      <w:r>
        <w:rPr>
          <w:rFonts w:hint="eastAsia" w:ascii="Times New Roman" w:hAnsi="Times New Roman" w:cs="宋体"/>
        </w:rPr>
        <w:t>13、未按要求提供样品的。</w:t>
      </w:r>
    </w:p>
    <w:p w14:paraId="66CDA70F">
      <w:pPr>
        <w:pStyle w:val="41"/>
        <w:spacing w:before="0" w:after="0"/>
        <w:ind w:left="0" w:right="0" w:firstLine="482" w:firstLineChars="200"/>
        <w:jc w:val="both"/>
        <w:rPr>
          <w:rFonts w:ascii="Times New Roman" w:hAnsi="Times New Roman" w:cs="宋体"/>
          <w:b/>
        </w:rPr>
      </w:pPr>
      <w:r>
        <w:rPr>
          <w:rFonts w:hint="eastAsia" w:ascii="Times New Roman" w:hAnsi="Times New Roman" w:cs="宋体"/>
          <w:b/>
        </w:rPr>
        <w:t>六、出现下列情形之一的，作废标处理</w:t>
      </w:r>
    </w:p>
    <w:p w14:paraId="50852A1A">
      <w:pPr>
        <w:pStyle w:val="41"/>
        <w:spacing w:before="0" w:after="0"/>
        <w:ind w:left="0" w:right="0" w:firstLineChars="200"/>
        <w:jc w:val="both"/>
        <w:rPr>
          <w:rFonts w:ascii="Times New Roman" w:hAnsi="Times New Roman" w:cs="宋体"/>
        </w:rPr>
      </w:pPr>
      <w:r>
        <w:rPr>
          <w:rFonts w:hint="eastAsia" w:ascii="Times New Roman" w:hAnsi="Times New Roman" w:cs="宋体"/>
        </w:rPr>
        <w:t>1、供应商的报价均超出了采购预算，采购单位不能支付的；</w:t>
      </w:r>
    </w:p>
    <w:p w14:paraId="58FF2119">
      <w:pPr>
        <w:pStyle w:val="41"/>
        <w:spacing w:before="0" w:after="0"/>
        <w:ind w:left="0" w:right="0" w:firstLineChars="200"/>
        <w:jc w:val="both"/>
        <w:rPr>
          <w:rFonts w:ascii="Times New Roman" w:hAnsi="Times New Roman" w:cs="宋体"/>
        </w:rPr>
      </w:pPr>
      <w:r>
        <w:rPr>
          <w:rFonts w:hint="eastAsia" w:ascii="Times New Roman" w:hAnsi="Times New Roman" w:cs="宋体"/>
        </w:rPr>
        <w:t>2、因情况变化，不再符合规定的竞争性磋商采购方式所适用情形的；</w:t>
      </w:r>
    </w:p>
    <w:p w14:paraId="13E32FF9">
      <w:pPr>
        <w:pStyle w:val="41"/>
        <w:spacing w:before="0" w:after="0"/>
        <w:ind w:left="0" w:right="0" w:firstLineChars="200"/>
        <w:jc w:val="both"/>
        <w:rPr>
          <w:rFonts w:ascii="Times New Roman" w:hAnsi="Times New Roman" w:cs="宋体"/>
        </w:rPr>
      </w:pPr>
      <w:r>
        <w:rPr>
          <w:rFonts w:hint="eastAsia" w:ascii="Times New Roman" w:hAnsi="Times New Roman" w:cs="宋体"/>
        </w:rPr>
        <w:t>3、出现影响采购公正的违法、违规行为的；</w:t>
      </w:r>
    </w:p>
    <w:p w14:paraId="7A487367">
      <w:pPr>
        <w:pStyle w:val="41"/>
        <w:spacing w:before="0" w:after="0"/>
        <w:ind w:left="0" w:right="0" w:firstLineChars="200"/>
        <w:jc w:val="both"/>
        <w:rPr>
          <w:rFonts w:ascii="Times New Roman" w:hAnsi="Times New Roman" w:cs="宋体"/>
        </w:rPr>
      </w:pPr>
      <w:r>
        <w:rPr>
          <w:rFonts w:hint="eastAsia" w:ascii="Times New Roman" w:hAnsi="Times New Roman" w:cs="宋体"/>
        </w:rPr>
        <w:t>4、因重大变故，采购任务取消的；</w:t>
      </w:r>
    </w:p>
    <w:p w14:paraId="173B0464">
      <w:pPr>
        <w:pStyle w:val="41"/>
        <w:spacing w:before="0" w:after="0"/>
        <w:ind w:left="0" w:right="0" w:firstLineChars="200"/>
        <w:jc w:val="both"/>
        <w:rPr>
          <w:rFonts w:ascii="Times New Roman" w:hAnsi="Times New Roman" w:cs="宋体"/>
        </w:rPr>
      </w:pPr>
      <w:r>
        <w:rPr>
          <w:rFonts w:hint="eastAsia" w:ascii="Times New Roman" w:hAnsi="Times New Roman" w:cs="宋体"/>
        </w:rPr>
        <w:t>5、磋商小组依据法律法规可以认定为废标的其他情况。</w:t>
      </w:r>
    </w:p>
    <w:p w14:paraId="6E3B9D94">
      <w:pPr>
        <w:pStyle w:val="41"/>
        <w:spacing w:before="0" w:after="0"/>
        <w:ind w:left="0" w:right="0" w:firstLine="482" w:firstLineChars="200"/>
        <w:jc w:val="both"/>
        <w:rPr>
          <w:rFonts w:ascii="Times New Roman" w:hAnsi="Times New Roman" w:cs="宋体"/>
          <w:b/>
        </w:rPr>
      </w:pPr>
      <w:r>
        <w:rPr>
          <w:rFonts w:hint="eastAsia" w:ascii="Times New Roman" w:hAnsi="Times New Roman" w:cs="宋体"/>
          <w:b/>
        </w:rPr>
        <w:t>七、成交通知</w:t>
      </w:r>
    </w:p>
    <w:p w14:paraId="37719C76">
      <w:pPr>
        <w:pStyle w:val="41"/>
        <w:spacing w:before="0" w:after="0"/>
        <w:ind w:left="0" w:right="0" w:firstLineChars="200"/>
        <w:jc w:val="both"/>
        <w:rPr>
          <w:rFonts w:ascii="Times New Roman" w:hAnsi="Times New Roman" w:cs="宋体"/>
        </w:rPr>
      </w:pPr>
      <w:r>
        <w:rPr>
          <w:rFonts w:hint="eastAsia" w:ascii="Times New Roman" w:hAnsi="Times New Roman" w:cs="宋体"/>
        </w:rPr>
        <w:t>成交结果在南通市医疗保障局官网公示</w:t>
      </w:r>
      <w:r>
        <w:rPr>
          <w:rFonts w:hint="eastAsia" w:ascii="Times New Roman" w:hAnsi="Times New Roman" w:cs="宋体"/>
          <w:b/>
          <w:u w:val="single"/>
        </w:rPr>
        <w:t>1</w:t>
      </w:r>
      <w:r>
        <w:rPr>
          <w:rFonts w:hint="eastAsia" w:ascii="Times New Roman" w:hAnsi="Times New Roman" w:cs="宋体"/>
        </w:rPr>
        <w:t>个工作日。《成交通知书》一经发出，采购单位改变成交结果，或者中标人放弃成交的，各自承担相应的法律责任。《成交通知书》是采购合同的组成部分。</w:t>
      </w:r>
    </w:p>
    <w:p w14:paraId="5CA19E4D">
      <w:pPr>
        <w:snapToGrid w:val="0"/>
        <w:spacing w:line="360" w:lineRule="auto"/>
        <w:ind w:firstLine="482" w:firstLineChars="200"/>
        <w:outlineLvl w:val="1"/>
        <w:rPr>
          <w:rFonts w:ascii="Times New Roman" w:hAnsi="Times New Roman" w:cs="宋体"/>
          <w:b/>
          <w:sz w:val="24"/>
        </w:rPr>
      </w:pPr>
    </w:p>
    <w:p w14:paraId="3F5F745D">
      <w:pPr>
        <w:widowControl/>
        <w:jc w:val="left"/>
        <w:rPr>
          <w:rFonts w:ascii="Times New Roman" w:hAnsi="Times New Roman" w:cs="宋体"/>
          <w:b/>
          <w:w w:val="80"/>
          <w:sz w:val="44"/>
          <w:szCs w:val="44"/>
        </w:rPr>
      </w:pPr>
      <w:r>
        <w:rPr>
          <w:rFonts w:ascii="Times New Roman" w:hAnsi="Times New Roman" w:cs="宋体"/>
          <w:b/>
          <w:i/>
          <w:w w:val="80"/>
          <w:sz w:val="44"/>
          <w:szCs w:val="44"/>
        </w:rPr>
        <w:br w:type="page"/>
      </w:r>
    </w:p>
    <w:p w14:paraId="7446934C">
      <w:pPr>
        <w:spacing w:line="720" w:lineRule="auto"/>
        <w:jc w:val="center"/>
        <w:rPr>
          <w:rFonts w:ascii="Times New Roman" w:hAnsi="Times New Roman" w:cs="方正小标宋简体"/>
          <w:b/>
          <w:sz w:val="44"/>
          <w:szCs w:val="44"/>
          <w:lang w:val="zh-CN"/>
        </w:rPr>
      </w:pPr>
      <w:r>
        <w:rPr>
          <w:rFonts w:hint="eastAsia" w:ascii="Times New Roman" w:hAnsi="Times New Roman" w:cs="方正小标宋简体"/>
          <w:b/>
          <w:sz w:val="44"/>
          <w:szCs w:val="44"/>
          <w:lang w:val="zh-CN"/>
        </w:rPr>
        <w:t>第五章 合同授予</w:t>
      </w:r>
    </w:p>
    <w:p w14:paraId="59D2CCA5">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一、成交供应商在《成交通知书》发出15个工作日内须按照磋商文件确定的事项签订政府采购合同。合同一式四份，采购单位两份、供应商两份。所签合同不得对磋商文件作实质性修改。采购单位不得向成交供应商提出不合理的要求作为签订合同的条件，不得与成交供应商私下订立背离磋商文件实质性内容的协议。</w:t>
      </w:r>
    </w:p>
    <w:p w14:paraId="5A7B9EAF">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的原则上5个工作日内支付相应款项。</w:t>
      </w:r>
    </w:p>
    <w:p w14:paraId="7507934E">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2AC81781">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四、中标人出现违约情形，应当及时纠正或补偿；造成损失的，按合同约定追究违约责任；发现有假冒、伪劣、走私产品、商业贿赂等违法情形的，应由采购单位移交工商、质监、公安等行政执法部门依法查处。</w:t>
      </w:r>
    </w:p>
    <w:p w14:paraId="33F545DA">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五、按政府采购合同约定支付的货款，实行财政国库直接支付。</w:t>
      </w:r>
    </w:p>
    <w:p w14:paraId="79B7BD17">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六、不响应付款方式的，视同响应文件无效，按无效响应文件处理。</w:t>
      </w:r>
    </w:p>
    <w:p w14:paraId="4E00FF9C">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七、付款方式详见磋商文件第三章。</w:t>
      </w:r>
    </w:p>
    <w:p w14:paraId="197BD6CE">
      <w:pPr>
        <w:snapToGrid w:val="0"/>
        <w:spacing w:line="360" w:lineRule="auto"/>
        <w:ind w:firstLine="480" w:firstLineChars="200"/>
        <w:rPr>
          <w:rFonts w:ascii="Times New Roman" w:hAnsi="Times New Roman" w:cs="宋体"/>
          <w:sz w:val="24"/>
        </w:rPr>
      </w:pPr>
      <w:r>
        <w:rPr>
          <w:rFonts w:hint="eastAsia" w:ascii="Times New Roman" w:hAnsi="Times New Roman" w:cs="宋体"/>
          <w:sz w:val="24"/>
        </w:rPr>
        <w:t>八、以上项目款的支付不计息。</w:t>
      </w:r>
    </w:p>
    <w:p w14:paraId="688F6C73">
      <w:pPr>
        <w:spacing w:line="720" w:lineRule="auto"/>
        <w:jc w:val="center"/>
        <w:rPr>
          <w:rFonts w:ascii="Times New Roman" w:hAnsi="Times New Roman" w:cs="方正小标宋简体"/>
          <w:b/>
          <w:sz w:val="44"/>
          <w:szCs w:val="44"/>
          <w:lang w:val="zh-CN"/>
        </w:rPr>
      </w:pPr>
      <w:r>
        <w:rPr>
          <w:rFonts w:ascii="Times New Roman" w:hAnsi="Times New Roman"/>
          <w:b/>
          <w:w w:val="80"/>
          <w:kern w:val="44"/>
          <w:sz w:val="44"/>
          <w:szCs w:val="44"/>
        </w:rPr>
        <w:br w:type="page"/>
      </w:r>
      <w:r>
        <w:rPr>
          <w:rFonts w:ascii="Times New Roman" w:hAnsi="Times New Roman" w:cs="方正小标宋简体"/>
          <w:b/>
          <w:sz w:val="44"/>
          <w:szCs w:val="44"/>
          <w:lang w:val="zh-CN"/>
        </w:rPr>
        <w:t>第</w:t>
      </w:r>
      <w:r>
        <w:rPr>
          <w:rFonts w:hint="eastAsia" w:ascii="Times New Roman" w:hAnsi="Times New Roman" w:cs="方正小标宋简体"/>
          <w:b/>
          <w:sz w:val="44"/>
          <w:szCs w:val="44"/>
          <w:lang w:val="zh-CN"/>
        </w:rPr>
        <w:t>六</w:t>
      </w:r>
      <w:r>
        <w:rPr>
          <w:rFonts w:ascii="Times New Roman" w:hAnsi="Times New Roman" w:cs="方正小标宋简体"/>
          <w:b/>
          <w:sz w:val="44"/>
          <w:szCs w:val="44"/>
          <w:lang w:val="zh-CN"/>
        </w:rPr>
        <w:t>章</w:t>
      </w:r>
      <w:r>
        <w:rPr>
          <w:rFonts w:hint="eastAsia" w:ascii="Times New Roman" w:hAnsi="Times New Roman" w:cs="方正小标宋简体"/>
          <w:b/>
          <w:sz w:val="44"/>
          <w:szCs w:val="44"/>
          <w:lang w:val="zh-CN"/>
        </w:rPr>
        <w:t xml:space="preserve"> 合同主要条款</w:t>
      </w:r>
    </w:p>
    <w:p w14:paraId="04D2B5EF">
      <w:pPr>
        <w:spacing w:line="360" w:lineRule="auto"/>
        <w:rPr>
          <w:rFonts w:ascii="Times New Roman" w:hAnsi="Times New Roman"/>
          <w:sz w:val="24"/>
        </w:rPr>
      </w:pPr>
      <w:r>
        <w:rPr>
          <w:rFonts w:hint="eastAsia" w:ascii="Times New Roman" w:hAnsi="Times New Roman"/>
          <w:sz w:val="24"/>
        </w:rPr>
        <w:t>采购单位全称：</w:t>
      </w:r>
      <w:r>
        <w:rPr>
          <w:rFonts w:hint="eastAsia" w:ascii="Times New Roman" w:hAnsi="Times New Roman"/>
          <w:sz w:val="24"/>
          <w:u w:val="single"/>
        </w:rPr>
        <w:t xml:space="preserve">                （简称甲方）</w:t>
      </w:r>
    </w:p>
    <w:p w14:paraId="2B205377">
      <w:pPr>
        <w:spacing w:line="360" w:lineRule="auto"/>
        <w:rPr>
          <w:rFonts w:ascii="Times New Roman" w:hAnsi="Times New Roman"/>
          <w:sz w:val="24"/>
        </w:rPr>
      </w:pPr>
      <w:r>
        <w:rPr>
          <w:rFonts w:hint="eastAsia" w:ascii="Times New Roman" w:hAnsi="Times New Roman"/>
          <w:sz w:val="24"/>
        </w:rPr>
        <w:t>成交供应商全称：</w:t>
      </w:r>
      <w:r>
        <w:rPr>
          <w:rFonts w:hint="eastAsia" w:ascii="Times New Roman" w:hAnsi="Times New Roman"/>
          <w:sz w:val="24"/>
          <w:u w:val="single"/>
        </w:rPr>
        <w:t xml:space="preserve">              （简称乙方）</w:t>
      </w:r>
    </w:p>
    <w:p w14:paraId="26C3FD82">
      <w:pPr>
        <w:spacing w:line="360" w:lineRule="auto"/>
        <w:ind w:firstLine="480" w:firstLineChars="200"/>
        <w:rPr>
          <w:rFonts w:ascii="Times New Roman" w:hAnsi="Times New Roman"/>
          <w:sz w:val="24"/>
        </w:rPr>
      </w:pPr>
      <w:r>
        <w:rPr>
          <w:rFonts w:hint="eastAsia" w:ascii="Times New Roman" w:hAnsi="Times New Roman"/>
          <w:sz w:val="24"/>
        </w:rPr>
        <w:t>依照《中华人民共和国政府采购法》、《中华人民共和国民法典》及其他有关法律、行政法规，遵循平等、自愿、公平和诚实信用的原则，双方就</w:t>
      </w:r>
      <w:r>
        <w:rPr>
          <w:rFonts w:hint="eastAsia" w:ascii="Times New Roman" w:hAnsi="Times New Roman"/>
          <w:sz w:val="24"/>
          <w:u w:val="single"/>
        </w:rPr>
        <w:t>南通市医疗保障局法律顾问服务项目</w:t>
      </w:r>
      <w:r>
        <w:rPr>
          <w:rFonts w:hint="eastAsia" w:ascii="Times New Roman" w:hAnsi="Times New Roman"/>
          <w:bCs/>
          <w:sz w:val="24"/>
        </w:rPr>
        <w:t>相关</w:t>
      </w:r>
      <w:r>
        <w:rPr>
          <w:rFonts w:hint="eastAsia" w:ascii="Times New Roman" w:hAnsi="Times New Roman"/>
          <w:sz w:val="24"/>
        </w:rPr>
        <w:t>事项协商一致，</w:t>
      </w:r>
      <w:r>
        <w:rPr>
          <w:rFonts w:hint="eastAsia" w:ascii="Times New Roman" w:hAnsi="Times New Roman"/>
          <w:kern w:val="28"/>
          <w:sz w:val="24"/>
        </w:rPr>
        <w:t>签订本合同，并</w:t>
      </w:r>
      <w:r>
        <w:rPr>
          <w:rFonts w:hint="eastAsia" w:ascii="Times New Roman" w:hAnsi="Times New Roman"/>
          <w:sz w:val="24"/>
        </w:rPr>
        <w:t>达成如下合同条款：</w:t>
      </w:r>
    </w:p>
    <w:p w14:paraId="27B941EF">
      <w:pPr>
        <w:spacing w:line="360" w:lineRule="auto"/>
        <w:ind w:firstLine="482" w:firstLineChars="200"/>
        <w:jc w:val="left"/>
        <w:rPr>
          <w:rFonts w:ascii="Times New Roman" w:hAnsi="Times New Roman"/>
          <w:b/>
          <w:sz w:val="24"/>
        </w:rPr>
      </w:pPr>
      <w:r>
        <w:rPr>
          <w:rFonts w:hint="eastAsia" w:ascii="Times New Roman" w:hAnsi="Times New Roman"/>
          <w:b/>
          <w:sz w:val="24"/>
        </w:rPr>
        <w:t>一、合同项目</w:t>
      </w:r>
    </w:p>
    <w:p w14:paraId="024594FD">
      <w:pPr>
        <w:spacing w:line="360" w:lineRule="auto"/>
        <w:ind w:firstLine="480" w:firstLineChars="200"/>
        <w:rPr>
          <w:rFonts w:ascii="Times New Roman" w:hAnsi="Times New Roman"/>
          <w:sz w:val="24"/>
        </w:rPr>
      </w:pPr>
      <w:r>
        <w:rPr>
          <w:rFonts w:hint="eastAsia" w:ascii="Times New Roman" w:hAnsi="Times New Roman"/>
          <w:sz w:val="24"/>
        </w:rPr>
        <w:t>本合同项目为</w:t>
      </w:r>
      <w:r>
        <w:rPr>
          <w:rFonts w:hint="eastAsia" w:ascii="Times New Roman" w:hAnsi="Times New Roman"/>
          <w:sz w:val="24"/>
          <w:u w:val="single"/>
        </w:rPr>
        <w:t>南通市医疗保障局法律顾问服务项目</w:t>
      </w:r>
      <w:r>
        <w:rPr>
          <w:rFonts w:hint="eastAsia" w:ascii="Times New Roman" w:hAnsi="Times New Roman"/>
          <w:sz w:val="24"/>
        </w:rPr>
        <w:t>。</w:t>
      </w:r>
    </w:p>
    <w:p w14:paraId="72F2756F">
      <w:pPr>
        <w:spacing w:line="360" w:lineRule="auto"/>
        <w:ind w:firstLine="480" w:firstLineChars="200"/>
        <w:rPr>
          <w:rFonts w:ascii="Times New Roman" w:hAnsi="Times New Roman" w:cs="宋体"/>
          <w:bCs/>
          <w:sz w:val="24"/>
        </w:rPr>
      </w:pPr>
      <w:r>
        <w:rPr>
          <w:rFonts w:hint="eastAsia" w:ascii="Times New Roman" w:hAnsi="Times New Roman" w:cs="宋体"/>
          <w:sz w:val="24"/>
        </w:rPr>
        <w:t>服务期限：</w:t>
      </w:r>
      <w:r>
        <w:rPr>
          <w:rFonts w:hint="eastAsia" w:ascii="Times New Roman" w:hAnsi="Times New Roman" w:cs="宋体"/>
          <w:bCs/>
          <w:sz w:val="24"/>
          <w:u w:val="single"/>
        </w:rPr>
        <w:t xml:space="preserve">       </w:t>
      </w:r>
      <w:r>
        <w:rPr>
          <w:rFonts w:hint="eastAsia" w:ascii="Times New Roman" w:hAnsi="Times New Roman" w:cs="宋体"/>
          <w:bCs/>
          <w:sz w:val="24"/>
        </w:rPr>
        <w:t>年</w:t>
      </w:r>
      <w:r>
        <w:rPr>
          <w:rFonts w:hint="eastAsia" w:ascii="Times New Roman" w:hAnsi="Times New Roman" w:cs="宋体"/>
          <w:bCs/>
          <w:sz w:val="24"/>
          <w:u w:val="single"/>
        </w:rPr>
        <w:t xml:space="preserve">    </w:t>
      </w:r>
      <w:r>
        <w:rPr>
          <w:rFonts w:hint="eastAsia" w:ascii="Times New Roman" w:hAnsi="Times New Roman" w:cs="宋体"/>
          <w:bCs/>
          <w:sz w:val="24"/>
        </w:rPr>
        <w:t>月</w:t>
      </w:r>
      <w:r>
        <w:rPr>
          <w:rFonts w:hint="eastAsia" w:ascii="Times New Roman" w:hAnsi="Times New Roman" w:cs="宋体"/>
          <w:bCs/>
          <w:sz w:val="24"/>
          <w:u w:val="single"/>
        </w:rPr>
        <w:t xml:space="preserve">    </w:t>
      </w:r>
      <w:r>
        <w:rPr>
          <w:rFonts w:hint="eastAsia" w:ascii="Times New Roman" w:hAnsi="Times New Roman" w:cs="宋体"/>
          <w:bCs/>
          <w:sz w:val="24"/>
        </w:rPr>
        <w:t>日—</w:t>
      </w:r>
      <w:r>
        <w:rPr>
          <w:rFonts w:hint="eastAsia" w:ascii="Times New Roman" w:hAnsi="Times New Roman" w:cs="宋体"/>
          <w:bCs/>
          <w:sz w:val="24"/>
          <w:u w:val="single"/>
        </w:rPr>
        <w:t xml:space="preserve">       </w:t>
      </w:r>
      <w:r>
        <w:rPr>
          <w:rFonts w:hint="eastAsia" w:ascii="Times New Roman" w:hAnsi="Times New Roman" w:cs="宋体"/>
          <w:bCs/>
          <w:sz w:val="24"/>
        </w:rPr>
        <w:t>年</w:t>
      </w:r>
      <w:r>
        <w:rPr>
          <w:rFonts w:hint="eastAsia" w:ascii="Times New Roman" w:hAnsi="Times New Roman" w:cs="宋体"/>
          <w:bCs/>
          <w:sz w:val="24"/>
          <w:u w:val="single"/>
        </w:rPr>
        <w:t xml:space="preserve">    </w:t>
      </w:r>
      <w:r>
        <w:rPr>
          <w:rFonts w:hint="eastAsia" w:ascii="Times New Roman" w:hAnsi="Times New Roman" w:cs="宋体"/>
          <w:bCs/>
          <w:sz w:val="24"/>
        </w:rPr>
        <w:t>月</w:t>
      </w:r>
      <w:r>
        <w:rPr>
          <w:rFonts w:hint="eastAsia" w:ascii="Times New Roman" w:hAnsi="Times New Roman" w:cs="宋体"/>
          <w:bCs/>
          <w:sz w:val="24"/>
          <w:u w:val="single"/>
        </w:rPr>
        <w:t xml:space="preserve">    </w:t>
      </w:r>
      <w:r>
        <w:rPr>
          <w:rFonts w:hint="eastAsia" w:ascii="Times New Roman" w:hAnsi="Times New Roman" w:cs="宋体"/>
          <w:bCs/>
          <w:sz w:val="24"/>
        </w:rPr>
        <w:t>日。</w:t>
      </w:r>
    </w:p>
    <w:p w14:paraId="2136F549">
      <w:pPr>
        <w:spacing w:line="360" w:lineRule="auto"/>
        <w:ind w:firstLine="482" w:firstLineChars="200"/>
        <w:jc w:val="left"/>
        <w:rPr>
          <w:rFonts w:ascii="Times New Roman" w:hAnsi="Times New Roman"/>
          <w:b/>
          <w:sz w:val="24"/>
        </w:rPr>
      </w:pPr>
      <w:r>
        <w:rPr>
          <w:rFonts w:hint="eastAsia" w:ascii="Times New Roman" w:hAnsi="Times New Roman"/>
          <w:b/>
          <w:sz w:val="24"/>
        </w:rPr>
        <w:t>二、价格</w:t>
      </w:r>
    </w:p>
    <w:p w14:paraId="7C739C9B">
      <w:pPr>
        <w:widowControl/>
        <w:tabs>
          <w:tab w:val="left" w:pos="720"/>
        </w:tabs>
        <w:spacing w:line="360" w:lineRule="auto"/>
        <w:ind w:firstLine="480" w:firstLineChars="200"/>
        <w:jc w:val="left"/>
        <w:rPr>
          <w:rFonts w:ascii="Times New Roman" w:hAnsi="Times New Roman"/>
          <w:sz w:val="24"/>
        </w:rPr>
      </w:pPr>
      <w:r>
        <w:rPr>
          <w:rFonts w:hint="eastAsia" w:ascii="Times New Roman" w:hAnsi="Times New Roman"/>
          <w:sz w:val="24"/>
        </w:rPr>
        <w:t>1.合同价格：法律顾问费部分合同价格为人民币</w:t>
      </w:r>
      <w:r>
        <w:rPr>
          <w:rFonts w:hint="eastAsia" w:ascii="Times New Roman" w:hAnsi="Times New Roman"/>
          <w:sz w:val="24"/>
          <w:u w:val="single"/>
        </w:rPr>
        <w:t>（大写）         （￥：             元 ）/年</w:t>
      </w:r>
      <w:r>
        <w:rPr>
          <w:rFonts w:hint="eastAsia" w:ascii="Times New Roman" w:hAnsi="Times New Roman"/>
          <w:sz w:val="24"/>
        </w:rPr>
        <w:t>。</w:t>
      </w:r>
    </w:p>
    <w:p w14:paraId="400B3DE6">
      <w:pPr>
        <w:spacing w:line="360" w:lineRule="auto"/>
        <w:ind w:firstLine="480" w:firstLineChars="200"/>
        <w:jc w:val="left"/>
        <w:rPr>
          <w:rFonts w:ascii="Times New Roman" w:hAnsi="Times New Roman"/>
          <w:sz w:val="24"/>
        </w:rPr>
      </w:pPr>
      <w:r>
        <w:rPr>
          <w:rFonts w:hint="eastAsia" w:ascii="Times New Roman" w:hAnsi="Times New Roman"/>
          <w:sz w:val="24"/>
        </w:rPr>
        <w:t>2.合同总价包括了完成本项目的全部费用及相关服务费等。包含但不限于如人工、专用设备、耗材、通讯和专用工具费用、差旅费、住宿费、伙食费、加班费、税费、运输、保险、技术支持与培训及相关劳务支出等工作所发生的全部费用以及投标人企业利润、税金和政策性文件规定及合同包含的所有风险、责任，即响应磋商项目服务中的全部工作量和服务及完成本项目工作所需的一切费用。因案件办理确需离开南通市范围的，律师的交通费、住宿费由甲方承担，凭票报销结算。提供法律服务过程中所需的鉴定费、翻译费、查询费由甲方承担。</w:t>
      </w:r>
    </w:p>
    <w:p w14:paraId="7F7A9E63">
      <w:pPr>
        <w:widowControl/>
        <w:spacing w:line="360" w:lineRule="auto"/>
        <w:ind w:firstLine="480" w:firstLineChars="200"/>
        <w:jc w:val="left"/>
        <w:rPr>
          <w:rFonts w:ascii="Times New Roman" w:hAnsi="Times New Roman"/>
          <w:sz w:val="24"/>
        </w:rPr>
      </w:pPr>
      <w:r>
        <w:rPr>
          <w:rFonts w:hint="eastAsia" w:ascii="Times New Roman" w:hAnsi="Times New Roman"/>
          <w:sz w:val="24"/>
        </w:rPr>
        <w:t>3.合同总价中包括本项目需求的所有服务内容。</w:t>
      </w:r>
    </w:p>
    <w:p w14:paraId="1094C25A">
      <w:pPr>
        <w:widowControl/>
        <w:spacing w:line="360" w:lineRule="auto"/>
        <w:ind w:firstLine="480" w:firstLineChars="200"/>
        <w:jc w:val="left"/>
        <w:rPr>
          <w:rFonts w:ascii="Times New Roman" w:hAnsi="Times New Roman"/>
          <w:sz w:val="24"/>
        </w:rPr>
      </w:pPr>
      <w:r>
        <w:rPr>
          <w:rFonts w:hint="eastAsia" w:ascii="Times New Roman" w:hAnsi="Times New Roman"/>
          <w:sz w:val="24"/>
        </w:rPr>
        <w:t>4.本合同价格为固定不变价。</w:t>
      </w:r>
    </w:p>
    <w:p w14:paraId="6771FB6C">
      <w:pPr>
        <w:spacing w:line="360" w:lineRule="auto"/>
        <w:ind w:firstLine="480" w:firstLineChars="200"/>
        <w:rPr>
          <w:rFonts w:ascii="Times New Roman" w:hAnsi="仿宋"/>
          <w:bCs/>
          <w:color w:val="auto"/>
          <w:sz w:val="24"/>
        </w:rPr>
      </w:pPr>
      <w:r>
        <w:rPr>
          <w:rFonts w:hint="eastAsia"/>
          <w:sz w:val="24"/>
        </w:rPr>
        <w:t>5</w:t>
      </w:r>
      <w:r>
        <w:rPr>
          <w:sz w:val="24"/>
        </w:rPr>
        <w:t>.</w:t>
      </w:r>
      <w:r>
        <w:rPr>
          <w:rFonts w:hint="eastAsia" w:ascii="宋体" w:hAnsi="宋体"/>
          <w:sz w:val="24"/>
        </w:rPr>
        <w:t>常年法律顾问合同</w:t>
      </w:r>
      <w:r>
        <w:rPr>
          <w:rFonts w:hint="eastAsia" w:ascii="宋体" w:hAnsi="宋体"/>
          <w:color w:val="auto"/>
          <w:sz w:val="24"/>
        </w:rPr>
        <w:t>期内，除</w:t>
      </w:r>
      <w:r>
        <w:rPr>
          <w:rFonts w:ascii="宋体" w:hAnsi="宋体"/>
          <w:color w:val="auto"/>
          <w:sz w:val="24"/>
        </w:rPr>
        <w:t>项目需求包含的服务内容</w:t>
      </w:r>
      <w:r>
        <w:rPr>
          <w:rFonts w:hint="eastAsia" w:ascii="宋体" w:hAnsi="宋体"/>
          <w:color w:val="auto"/>
          <w:sz w:val="24"/>
        </w:rPr>
        <w:t>正常支付法律顾问费外，按照下列标准对以下服务内容额外支付费用：（1）出具合同及一般性文件法律审查意见，五份以内（含五份）免费，超过部分300元/份；（2）行政规范性文件审查3000元/份（特别重大或复杂文件另行协商）；（3）行政复议及行政诉讼案件5000元/件，涉及不同阶段（复议、一审、二审），每增加一个阶段，另行收取2500元/每阶段），重大案件另行协商；（4）民事案件根据诉讼标的另行协商。</w:t>
      </w:r>
    </w:p>
    <w:p w14:paraId="5643BF94">
      <w:pPr>
        <w:spacing w:line="360" w:lineRule="auto"/>
        <w:ind w:firstLine="482" w:firstLineChars="200"/>
        <w:rPr>
          <w:rFonts w:ascii="Times New Roman" w:hAnsi="仿宋"/>
          <w:b/>
          <w:color w:val="auto"/>
          <w:sz w:val="24"/>
        </w:rPr>
      </w:pPr>
      <w:r>
        <w:rPr>
          <w:rFonts w:hint="eastAsia" w:ascii="Times New Roman" w:hAnsi="仿宋"/>
          <w:b/>
          <w:color w:val="auto"/>
          <w:sz w:val="24"/>
        </w:rPr>
        <w:t>三、项目服务内容</w:t>
      </w:r>
    </w:p>
    <w:p w14:paraId="3D0C5501">
      <w:pPr>
        <w:spacing w:line="360" w:lineRule="auto"/>
        <w:ind w:firstLine="480" w:firstLineChars="200"/>
        <w:rPr>
          <w:rFonts w:ascii="Times New Roman" w:hAnsi="仿宋"/>
          <w:bCs/>
          <w:sz w:val="24"/>
        </w:rPr>
      </w:pPr>
      <w:r>
        <w:rPr>
          <w:rFonts w:hint="eastAsia" w:ascii="Times New Roman" w:hAnsi="仿宋"/>
          <w:bCs/>
          <w:sz w:val="24"/>
        </w:rPr>
        <w:t>担任甲方法律顾问，提供以下法律服务内容：</w:t>
      </w:r>
    </w:p>
    <w:p w14:paraId="4C58E6A8">
      <w:pPr>
        <w:spacing w:line="360" w:lineRule="auto"/>
        <w:ind w:firstLine="480" w:firstLineChars="200"/>
        <w:rPr>
          <w:sz w:val="24"/>
        </w:rPr>
      </w:pPr>
      <w:r>
        <w:rPr>
          <w:sz w:val="24"/>
        </w:rPr>
        <w:t xml:space="preserve">1. </w:t>
      </w:r>
      <w:r>
        <w:rPr>
          <w:rFonts w:hint="eastAsia" w:ascii="Times New Roman" w:hAnsi="仿宋"/>
          <w:bCs/>
          <w:sz w:val="24"/>
        </w:rPr>
        <w:t>甲方</w:t>
      </w:r>
      <w:r>
        <w:rPr>
          <w:sz w:val="24"/>
        </w:rPr>
        <w:t>常见法律问题的咨询和建议，</w:t>
      </w:r>
      <w:r>
        <w:rPr>
          <w:rFonts w:hint="eastAsia"/>
          <w:sz w:val="24"/>
        </w:rPr>
        <w:t>根据要求</w:t>
      </w:r>
      <w:r>
        <w:rPr>
          <w:sz w:val="24"/>
        </w:rPr>
        <w:t>提供</w:t>
      </w:r>
      <w:r>
        <w:rPr>
          <w:rFonts w:hint="eastAsia"/>
          <w:sz w:val="24"/>
        </w:rPr>
        <w:t>口头意见或书</w:t>
      </w:r>
      <w:r>
        <w:rPr>
          <w:sz w:val="24"/>
        </w:rPr>
        <w:t>面</w:t>
      </w:r>
      <w:r>
        <w:rPr>
          <w:rFonts w:hint="eastAsia"/>
          <w:sz w:val="24"/>
        </w:rPr>
        <w:t>意见。</w:t>
      </w:r>
    </w:p>
    <w:p w14:paraId="2FD6BE2D">
      <w:pPr>
        <w:spacing w:line="360" w:lineRule="auto"/>
        <w:ind w:firstLine="480" w:firstLineChars="200"/>
        <w:rPr>
          <w:sz w:val="24"/>
        </w:rPr>
      </w:pPr>
      <w:r>
        <w:rPr>
          <w:sz w:val="24"/>
        </w:rPr>
        <w:t>2. 参与起草、修订</w:t>
      </w:r>
      <w:r>
        <w:rPr>
          <w:rFonts w:hint="eastAsia" w:ascii="Times New Roman" w:hAnsi="仿宋"/>
          <w:bCs/>
          <w:sz w:val="24"/>
        </w:rPr>
        <w:t>甲方</w:t>
      </w:r>
      <w:r>
        <w:rPr>
          <w:sz w:val="24"/>
        </w:rPr>
        <w:t>人事管理、财务管理、劳动用工、合同管理等规章制度或法律性文书；</w:t>
      </w:r>
    </w:p>
    <w:p w14:paraId="16067A09">
      <w:pPr>
        <w:spacing w:line="360" w:lineRule="auto"/>
        <w:ind w:firstLine="480" w:firstLineChars="200"/>
        <w:rPr>
          <w:sz w:val="24"/>
        </w:rPr>
      </w:pPr>
      <w:r>
        <w:rPr>
          <w:sz w:val="24"/>
        </w:rPr>
        <w:t>3. 参与合作项目的洽谈，协助起草、修改重要的法律文书或以</w:t>
      </w:r>
      <w:r>
        <w:rPr>
          <w:rFonts w:hint="eastAsia" w:ascii="Times New Roman" w:hAnsi="仿宋"/>
          <w:bCs/>
          <w:sz w:val="24"/>
        </w:rPr>
        <w:t>甲方</w:t>
      </w:r>
      <w:r>
        <w:rPr>
          <w:sz w:val="24"/>
        </w:rPr>
        <w:t>为一方当事人的重大合同；</w:t>
      </w:r>
    </w:p>
    <w:p w14:paraId="18CA6D39">
      <w:pPr>
        <w:spacing w:line="360" w:lineRule="auto"/>
        <w:ind w:firstLine="480" w:firstLineChars="200"/>
        <w:rPr>
          <w:sz w:val="24"/>
        </w:rPr>
      </w:pPr>
      <w:r>
        <w:rPr>
          <w:sz w:val="24"/>
        </w:rPr>
        <w:t>4. 根据</w:t>
      </w:r>
      <w:r>
        <w:rPr>
          <w:rFonts w:hint="eastAsia" w:ascii="Times New Roman" w:hAnsi="仿宋"/>
          <w:bCs/>
          <w:sz w:val="24"/>
        </w:rPr>
        <w:t>甲方</w:t>
      </w:r>
      <w:r>
        <w:rPr>
          <w:sz w:val="24"/>
        </w:rPr>
        <w:t>要求，出席内部会议，并讨论与日常管理活动有关的法律问题，进行法律分析论证，为</w:t>
      </w:r>
      <w:r>
        <w:rPr>
          <w:rFonts w:hint="eastAsia" w:ascii="Times New Roman" w:hAnsi="仿宋"/>
          <w:bCs/>
          <w:sz w:val="24"/>
        </w:rPr>
        <w:t>甲方</w:t>
      </w:r>
      <w:r>
        <w:rPr>
          <w:sz w:val="24"/>
        </w:rPr>
        <w:t>内部决策提供咨询意见和法律依据；</w:t>
      </w:r>
    </w:p>
    <w:p w14:paraId="4F4000D3">
      <w:pPr>
        <w:spacing w:line="360" w:lineRule="auto"/>
        <w:ind w:firstLine="480" w:firstLineChars="200"/>
        <w:rPr>
          <w:sz w:val="24"/>
        </w:rPr>
      </w:pPr>
      <w:r>
        <w:rPr>
          <w:sz w:val="24"/>
        </w:rPr>
        <w:t>5. 对</w:t>
      </w:r>
      <w:r>
        <w:rPr>
          <w:rFonts w:hint="eastAsia" w:ascii="Times New Roman" w:hAnsi="仿宋"/>
          <w:bCs/>
          <w:sz w:val="24"/>
        </w:rPr>
        <w:t>甲方</w:t>
      </w:r>
      <w:r>
        <w:rPr>
          <w:sz w:val="24"/>
        </w:rPr>
        <w:t>重大行政决策、重大行政执法行为提出法律意见，对其法律可行性和操作性进行论证，对重大项目进行法律分析论证，</w:t>
      </w:r>
      <w:r>
        <w:rPr>
          <w:rFonts w:hint="eastAsia"/>
          <w:sz w:val="24"/>
        </w:rPr>
        <w:t>提供法律意见</w:t>
      </w:r>
      <w:r>
        <w:rPr>
          <w:sz w:val="24"/>
        </w:rPr>
        <w:t>；</w:t>
      </w:r>
    </w:p>
    <w:p w14:paraId="6F920863">
      <w:pPr>
        <w:spacing w:line="360" w:lineRule="auto"/>
        <w:ind w:firstLine="480" w:firstLineChars="200"/>
        <w:rPr>
          <w:sz w:val="24"/>
        </w:rPr>
      </w:pPr>
      <w:r>
        <w:rPr>
          <w:sz w:val="24"/>
        </w:rPr>
        <w:t>6. 参与法律法规规章草案和规范性文件送审稿的审查、论证；</w:t>
      </w:r>
    </w:p>
    <w:p w14:paraId="4CD1BFA0">
      <w:pPr>
        <w:spacing w:line="360" w:lineRule="auto"/>
        <w:ind w:firstLine="480" w:firstLineChars="200"/>
        <w:rPr>
          <w:sz w:val="24"/>
        </w:rPr>
      </w:pPr>
      <w:r>
        <w:rPr>
          <w:sz w:val="24"/>
        </w:rPr>
        <w:t>7. 为</w:t>
      </w:r>
      <w:r>
        <w:rPr>
          <w:rFonts w:hint="eastAsia" w:ascii="Times New Roman" w:hAnsi="仿宋"/>
          <w:bCs/>
          <w:sz w:val="24"/>
        </w:rPr>
        <w:t>甲方</w:t>
      </w:r>
      <w:r>
        <w:rPr>
          <w:sz w:val="24"/>
        </w:rPr>
        <w:t>重大信访案件或重大突发事件等提供法律</w:t>
      </w:r>
      <w:r>
        <w:rPr>
          <w:rFonts w:hint="eastAsia"/>
          <w:sz w:val="24"/>
        </w:rPr>
        <w:t>意见</w:t>
      </w:r>
      <w:r>
        <w:rPr>
          <w:sz w:val="24"/>
        </w:rPr>
        <w:t>；</w:t>
      </w:r>
    </w:p>
    <w:p w14:paraId="00872CB9">
      <w:pPr>
        <w:spacing w:line="360" w:lineRule="auto"/>
        <w:ind w:firstLine="480" w:firstLineChars="200"/>
        <w:rPr>
          <w:sz w:val="24"/>
        </w:rPr>
      </w:pPr>
      <w:r>
        <w:rPr>
          <w:sz w:val="24"/>
        </w:rPr>
        <w:t>8. 受委托参与</w:t>
      </w:r>
      <w:r>
        <w:rPr>
          <w:rFonts w:hint="eastAsia" w:ascii="Times New Roman" w:hAnsi="仿宋"/>
          <w:bCs/>
          <w:sz w:val="24"/>
        </w:rPr>
        <w:t>甲方</w:t>
      </w:r>
      <w:r>
        <w:rPr>
          <w:sz w:val="24"/>
        </w:rPr>
        <w:t>招标、投标活动，参与整个活动的谈判和监督执行；</w:t>
      </w:r>
    </w:p>
    <w:p w14:paraId="3A9B3A75">
      <w:pPr>
        <w:spacing w:line="360" w:lineRule="auto"/>
        <w:ind w:firstLine="480" w:firstLineChars="200"/>
        <w:rPr>
          <w:sz w:val="24"/>
        </w:rPr>
      </w:pPr>
      <w:r>
        <w:rPr>
          <w:sz w:val="24"/>
        </w:rPr>
        <w:t>9. 对涉及</w:t>
      </w:r>
      <w:r>
        <w:rPr>
          <w:rFonts w:hint="eastAsia" w:ascii="Times New Roman" w:hAnsi="仿宋"/>
          <w:bCs/>
          <w:sz w:val="24"/>
        </w:rPr>
        <w:t>甲方</w:t>
      </w:r>
      <w:r>
        <w:rPr>
          <w:sz w:val="24"/>
        </w:rPr>
        <w:t>行政管理和公共服务等法律事务提供指导；</w:t>
      </w:r>
    </w:p>
    <w:p w14:paraId="6D4B7B79">
      <w:pPr>
        <w:spacing w:line="360" w:lineRule="auto"/>
        <w:ind w:firstLine="480" w:firstLineChars="200"/>
        <w:rPr>
          <w:sz w:val="24"/>
        </w:rPr>
      </w:pPr>
      <w:r>
        <w:rPr>
          <w:sz w:val="24"/>
        </w:rPr>
        <w:t>10. 应</w:t>
      </w:r>
      <w:r>
        <w:rPr>
          <w:rFonts w:hint="eastAsia" w:ascii="Times New Roman" w:hAnsi="仿宋"/>
          <w:bCs/>
          <w:sz w:val="24"/>
        </w:rPr>
        <w:t>甲方</w:t>
      </w:r>
      <w:r>
        <w:rPr>
          <w:sz w:val="24"/>
        </w:rPr>
        <w:t>要求，就已面临或可能发生的纠纷，进行法律论证，提出解决方案；</w:t>
      </w:r>
    </w:p>
    <w:p w14:paraId="788EA5E8">
      <w:pPr>
        <w:spacing w:line="360" w:lineRule="auto"/>
        <w:ind w:firstLine="480" w:firstLineChars="200"/>
        <w:rPr>
          <w:sz w:val="24"/>
        </w:rPr>
      </w:pPr>
      <w:r>
        <w:rPr>
          <w:sz w:val="24"/>
        </w:rPr>
        <w:t>11. 对</w:t>
      </w:r>
      <w:r>
        <w:rPr>
          <w:rFonts w:hint="eastAsia" w:ascii="Times New Roman" w:hAnsi="仿宋"/>
          <w:bCs/>
          <w:sz w:val="24"/>
        </w:rPr>
        <w:t>甲方</w:t>
      </w:r>
      <w:r>
        <w:rPr>
          <w:sz w:val="24"/>
        </w:rPr>
        <w:t>员工开展不少于一次的法律培训，协助</w:t>
      </w:r>
      <w:r>
        <w:rPr>
          <w:rFonts w:hint="eastAsia" w:ascii="Times New Roman" w:hAnsi="仿宋"/>
          <w:bCs/>
          <w:sz w:val="24"/>
        </w:rPr>
        <w:t>甲方</w:t>
      </w:r>
      <w:r>
        <w:rPr>
          <w:sz w:val="24"/>
        </w:rPr>
        <w:t>进行法治宣传；</w:t>
      </w:r>
    </w:p>
    <w:p w14:paraId="74DD35C2">
      <w:pPr>
        <w:spacing w:line="360" w:lineRule="auto"/>
        <w:ind w:firstLine="480" w:firstLineChars="200"/>
        <w:rPr>
          <w:sz w:val="24"/>
        </w:rPr>
      </w:pPr>
      <w:r>
        <w:rPr>
          <w:sz w:val="24"/>
        </w:rPr>
        <w:t>12. 完成</w:t>
      </w:r>
      <w:r>
        <w:rPr>
          <w:rFonts w:hint="eastAsia" w:ascii="Times New Roman" w:hAnsi="仿宋"/>
          <w:bCs/>
          <w:sz w:val="24"/>
        </w:rPr>
        <w:t>甲方</w:t>
      </w:r>
      <w:r>
        <w:rPr>
          <w:sz w:val="24"/>
        </w:rPr>
        <w:t>交办的其他法律事务。</w:t>
      </w:r>
    </w:p>
    <w:p w14:paraId="43C2BDF7">
      <w:pPr>
        <w:spacing w:line="360" w:lineRule="auto"/>
        <w:ind w:firstLine="482" w:firstLineChars="200"/>
        <w:jc w:val="left"/>
        <w:rPr>
          <w:rFonts w:ascii="Times New Roman" w:hAnsi="Times New Roman"/>
          <w:b/>
          <w:sz w:val="24"/>
        </w:rPr>
      </w:pPr>
      <w:r>
        <w:rPr>
          <w:rFonts w:hint="eastAsia" w:ascii="Times New Roman" w:hAnsi="Times New Roman"/>
          <w:b/>
          <w:sz w:val="24"/>
        </w:rPr>
        <w:t>四、服务要求：</w:t>
      </w:r>
    </w:p>
    <w:p w14:paraId="2D0ECF16">
      <w:pPr>
        <w:spacing w:line="360" w:lineRule="auto"/>
        <w:ind w:firstLine="480" w:firstLineChars="200"/>
        <w:jc w:val="left"/>
        <w:rPr>
          <w:rFonts w:ascii="Times New Roman" w:hAnsi="Times New Roman"/>
          <w:b/>
          <w:sz w:val="24"/>
        </w:rPr>
      </w:pPr>
      <w:r>
        <w:rPr>
          <w:rFonts w:hint="eastAsia"/>
          <w:sz w:val="24"/>
        </w:rPr>
        <w:t>乙方应保证24小时响应甲方人，接到甲方书面或口头通知后，乙方应在2小时内到达甲方通知的地点提供法律服务。乙方未按照服务响应要求执行的，甲方有权终止合同，因此产生的所有损失由乙方自行承担。</w:t>
      </w:r>
    </w:p>
    <w:p w14:paraId="6AFDA1AE">
      <w:pPr>
        <w:spacing w:line="360" w:lineRule="auto"/>
        <w:ind w:firstLine="482" w:firstLineChars="200"/>
        <w:jc w:val="left"/>
        <w:rPr>
          <w:rFonts w:ascii="Times New Roman" w:hAnsi="Times New Roman"/>
          <w:b/>
          <w:sz w:val="24"/>
        </w:rPr>
      </w:pPr>
      <w:r>
        <w:rPr>
          <w:rFonts w:hint="eastAsia" w:ascii="Times New Roman" w:hAnsi="Times New Roman"/>
          <w:b/>
          <w:sz w:val="24"/>
        </w:rPr>
        <w:t>五、知识产权</w:t>
      </w:r>
    </w:p>
    <w:p w14:paraId="32F6144B">
      <w:pPr>
        <w:spacing w:line="360" w:lineRule="auto"/>
        <w:ind w:firstLine="480" w:firstLineChars="200"/>
        <w:jc w:val="left"/>
        <w:rPr>
          <w:rFonts w:ascii="Times New Roman" w:hAnsi="Times New Roman"/>
          <w:sz w:val="24"/>
        </w:rPr>
      </w:pPr>
      <w:r>
        <w:rPr>
          <w:rFonts w:hint="eastAsia" w:ascii="Times New Roman" w:hAnsi="Times New Roman"/>
          <w:sz w:val="24"/>
        </w:rPr>
        <w:t>乙方应保证甲方在使用、接受本合同服务或其任何一部分时不受第三方提出侵犯其专利权、版权、商标权和工业设计权等知识产权的起诉。一旦出现侵权，由乙方负全部责任。</w:t>
      </w:r>
    </w:p>
    <w:p w14:paraId="4C84E0AB">
      <w:pPr>
        <w:spacing w:line="360" w:lineRule="auto"/>
        <w:ind w:firstLine="482" w:firstLineChars="200"/>
        <w:jc w:val="left"/>
        <w:rPr>
          <w:rFonts w:ascii="Times New Roman" w:hAnsi="Times New Roman"/>
          <w:b/>
          <w:sz w:val="24"/>
        </w:rPr>
      </w:pPr>
      <w:r>
        <w:rPr>
          <w:rFonts w:hint="eastAsia" w:ascii="Times New Roman" w:hAnsi="Times New Roman"/>
          <w:b/>
          <w:sz w:val="24"/>
        </w:rPr>
        <w:t>六、付款</w:t>
      </w:r>
    </w:p>
    <w:p w14:paraId="1057C681">
      <w:pPr>
        <w:widowControl/>
        <w:spacing w:line="360" w:lineRule="auto"/>
        <w:ind w:firstLine="480" w:firstLineChars="200"/>
        <w:jc w:val="left"/>
        <w:rPr>
          <w:rFonts w:ascii="Times New Roman" w:hAnsi="Times New Roman"/>
          <w:sz w:val="24"/>
        </w:rPr>
      </w:pPr>
      <w:r>
        <w:rPr>
          <w:rFonts w:hint="eastAsia" w:ascii="Times New Roman" w:hAnsi="Times New Roman"/>
          <w:sz w:val="24"/>
        </w:rPr>
        <w:t>1.</w:t>
      </w:r>
      <w:r>
        <w:rPr>
          <w:rFonts w:hint="eastAsia"/>
        </w:rPr>
        <w:t xml:space="preserve"> </w:t>
      </w:r>
      <w:r>
        <w:rPr>
          <w:rFonts w:hint="eastAsia" w:ascii="宋体" w:hAnsi="宋体" w:cs="宋体"/>
          <w:sz w:val="24"/>
          <w:shd w:val="clear" w:color="auto" w:fill="FFFFFF"/>
        </w:rPr>
        <w:t>合同期内法律顾问费每半年支付50%，单件计费项目每半年据实支付一次。服务供应商须提供符合税法规定的发票</w:t>
      </w:r>
      <w:r>
        <w:rPr>
          <w:rFonts w:hint="eastAsia" w:ascii="Times New Roman" w:hAnsi="Times New Roman" w:cs="宋体"/>
          <w:bCs/>
          <w:sz w:val="24"/>
        </w:rPr>
        <w:t>。</w:t>
      </w:r>
    </w:p>
    <w:p w14:paraId="115D0B21">
      <w:pPr>
        <w:spacing w:line="360" w:lineRule="auto"/>
        <w:ind w:firstLine="480" w:firstLineChars="200"/>
        <w:jc w:val="left"/>
        <w:rPr>
          <w:rFonts w:ascii="Times New Roman" w:hAnsi="Times New Roman"/>
          <w:sz w:val="24"/>
        </w:rPr>
      </w:pPr>
      <w:r>
        <w:rPr>
          <w:rFonts w:hint="eastAsia" w:ascii="Times New Roman" w:hAnsi="Times New Roman"/>
          <w:sz w:val="24"/>
        </w:rPr>
        <w:t>2.付款方式：采用银行汇付（含电汇）等形式。每笔款项支付时，乙方同时向甲方提供相应金额的正式发票。</w:t>
      </w:r>
    </w:p>
    <w:p w14:paraId="108F2058">
      <w:pPr>
        <w:spacing w:line="360" w:lineRule="auto"/>
        <w:ind w:firstLine="482" w:firstLineChars="200"/>
        <w:jc w:val="left"/>
        <w:rPr>
          <w:rFonts w:ascii="Times New Roman" w:hAnsi="Times New Roman"/>
          <w:b/>
          <w:sz w:val="24"/>
        </w:rPr>
      </w:pPr>
      <w:r>
        <w:rPr>
          <w:rFonts w:hint="eastAsia" w:ascii="Times New Roman" w:hAnsi="Times New Roman"/>
          <w:b/>
          <w:sz w:val="24"/>
        </w:rPr>
        <w:t>七、不可抗力</w:t>
      </w:r>
    </w:p>
    <w:p w14:paraId="08EC0340">
      <w:pPr>
        <w:spacing w:line="360" w:lineRule="auto"/>
        <w:ind w:firstLine="480" w:firstLineChars="200"/>
        <w:jc w:val="left"/>
        <w:rPr>
          <w:rFonts w:ascii="Times New Roman" w:hAnsi="Times New Roman"/>
          <w:sz w:val="24"/>
        </w:rPr>
      </w:pPr>
      <w:r>
        <w:rPr>
          <w:rFonts w:hint="eastAsia" w:ascii="Times New Roman" w:hAnsi="Times New Roman"/>
          <w:sz w:val="24"/>
        </w:rPr>
        <w:t>1. 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14:paraId="59A4E35F">
      <w:pPr>
        <w:spacing w:line="360" w:lineRule="auto"/>
        <w:ind w:firstLine="480" w:firstLineChars="200"/>
        <w:jc w:val="left"/>
        <w:rPr>
          <w:rFonts w:ascii="Times New Roman" w:hAnsi="Times New Roman"/>
          <w:sz w:val="24"/>
        </w:rPr>
      </w:pPr>
      <w:r>
        <w:rPr>
          <w:rFonts w:hint="eastAsia" w:ascii="Times New Roman" w:hAnsi="Times New Roman"/>
          <w:sz w:val="24"/>
        </w:rPr>
        <w:t>2. 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241FFD74">
      <w:pPr>
        <w:spacing w:line="360" w:lineRule="auto"/>
        <w:ind w:firstLine="482" w:firstLineChars="200"/>
        <w:jc w:val="left"/>
        <w:rPr>
          <w:rFonts w:ascii="Times New Roman" w:hAnsi="Times New Roman"/>
          <w:b/>
          <w:sz w:val="24"/>
        </w:rPr>
      </w:pPr>
      <w:r>
        <w:rPr>
          <w:rFonts w:hint="eastAsia" w:ascii="Times New Roman" w:hAnsi="Times New Roman"/>
          <w:b/>
          <w:sz w:val="24"/>
        </w:rPr>
        <w:t>八、</w:t>
      </w:r>
      <w:r>
        <w:rPr>
          <w:rFonts w:ascii="Times New Roman" w:hAnsi="Times New Roman"/>
          <w:b/>
          <w:sz w:val="24"/>
        </w:rPr>
        <w:t>违约责任</w:t>
      </w:r>
    </w:p>
    <w:p w14:paraId="2832997F">
      <w:pPr>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甲方无正当理由拒收服务的，甲方向乙方偿付拒收</w:t>
      </w:r>
      <w:r>
        <w:rPr>
          <w:rFonts w:hint="eastAsia" w:ascii="Times New Roman" w:hAnsi="Times New Roman"/>
          <w:sz w:val="24"/>
        </w:rPr>
        <w:t>合同</w:t>
      </w:r>
      <w:r>
        <w:rPr>
          <w:rFonts w:ascii="Times New Roman" w:hAnsi="Times New Roman"/>
          <w:sz w:val="24"/>
        </w:rPr>
        <w:t>总值的百分之五违约金。</w:t>
      </w:r>
    </w:p>
    <w:p w14:paraId="44FD58F6">
      <w:pPr>
        <w:spacing w:line="360" w:lineRule="auto"/>
        <w:ind w:firstLine="480" w:firstLineChars="200"/>
        <w:jc w:val="left"/>
        <w:rPr>
          <w:rFonts w:ascii="Times New Roman" w:hAnsi="Times New Roman"/>
          <w:sz w:val="24"/>
        </w:rPr>
      </w:pPr>
      <w:r>
        <w:rPr>
          <w:rFonts w:hint="eastAsia" w:ascii="Times New Roman" w:hAnsi="Times New Roman"/>
          <w:sz w:val="24"/>
        </w:rPr>
        <w:t>2.</w:t>
      </w:r>
      <w:r>
        <w:rPr>
          <w:rFonts w:ascii="Times New Roman" w:hAnsi="Times New Roman"/>
          <w:sz w:val="24"/>
        </w:rPr>
        <w:t>甲方无故逾期验收和办理</w:t>
      </w:r>
      <w:r>
        <w:rPr>
          <w:rFonts w:hint="eastAsia" w:ascii="Times New Roman" w:hAnsi="Times New Roman"/>
          <w:sz w:val="24"/>
        </w:rPr>
        <w:t>服务款项</w:t>
      </w:r>
      <w:r>
        <w:rPr>
          <w:rFonts w:ascii="Times New Roman" w:hAnsi="Times New Roman"/>
          <w:sz w:val="24"/>
        </w:rPr>
        <w:t>支付手续的</w:t>
      </w:r>
      <w:r>
        <w:rPr>
          <w:rFonts w:hint="eastAsia" w:ascii="Times New Roman" w:hAnsi="Times New Roman"/>
          <w:sz w:val="24"/>
        </w:rPr>
        <w:t>，</w:t>
      </w:r>
      <w:r>
        <w:rPr>
          <w:rFonts w:ascii="Times New Roman" w:hAnsi="Times New Roman"/>
          <w:sz w:val="24"/>
        </w:rPr>
        <w:t>甲方应按逾期付款总额每日万分之五向乙方支付违约金。</w:t>
      </w:r>
    </w:p>
    <w:p w14:paraId="5F8CB753">
      <w:pPr>
        <w:spacing w:line="360" w:lineRule="auto"/>
        <w:ind w:firstLine="480" w:firstLineChars="200"/>
        <w:jc w:val="left"/>
        <w:rPr>
          <w:rFonts w:ascii="Times New Roman" w:hAnsi="Times New Roman"/>
          <w:sz w:val="24"/>
        </w:rPr>
      </w:pPr>
      <w:r>
        <w:rPr>
          <w:rFonts w:hint="eastAsia" w:ascii="Times New Roman" w:hAnsi="Times New Roman"/>
          <w:sz w:val="24"/>
        </w:rPr>
        <w:t>3.</w:t>
      </w:r>
      <w:r>
        <w:rPr>
          <w:rFonts w:ascii="Times New Roman" w:hAnsi="Times New Roman"/>
          <w:sz w:val="24"/>
        </w:rPr>
        <w:t>乙方逾期交付服务的，乙方应按逾期交</w:t>
      </w:r>
      <w:r>
        <w:rPr>
          <w:rFonts w:hint="eastAsia" w:ascii="Times New Roman" w:hAnsi="Times New Roman"/>
          <w:sz w:val="24"/>
        </w:rPr>
        <w:t>付</w:t>
      </w:r>
      <w:r>
        <w:rPr>
          <w:rFonts w:ascii="Times New Roman" w:hAnsi="Times New Roman"/>
          <w:sz w:val="24"/>
        </w:rPr>
        <w:t>总额每日千分之六向甲方支付违约金，由甲方从待付款中扣除。逾期超过约定日期10个工作日不能交</w:t>
      </w:r>
      <w:r>
        <w:rPr>
          <w:rFonts w:hint="eastAsia" w:ascii="Times New Roman" w:hAnsi="Times New Roman"/>
          <w:sz w:val="24"/>
        </w:rPr>
        <w:t>付</w:t>
      </w:r>
      <w:r>
        <w:rPr>
          <w:rFonts w:ascii="Times New Roman" w:hAnsi="Times New Roman"/>
          <w:sz w:val="24"/>
        </w:rPr>
        <w:t>的，甲方可解除本合同。乙方因逾期交</w:t>
      </w:r>
      <w:r>
        <w:rPr>
          <w:rFonts w:hint="eastAsia" w:ascii="Times New Roman" w:hAnsi="Times New Roman"/>
          <w:sz w:val="24"/>
        </w:rPr>
        <w:t>付</w:t>
      </w:r>
      <w:r>
        <w:rPr>
          <w:rFonts w:ascii="Times New Roman" w:hAnsi="Times New Roman"/>
          <w:sz w:val="24"/>
        </w:rPr>
        <w:t xml:space="preserve">或因其他违约行为导致甲方解除合同的，乙方应向甲方支付合同总值5%的违约金，如造成甲方损失超过违约金的，超出部分由乙方继续承担赔偿责任。 </w:t>
      </w:r>
    </w:p>
    <w:p w14:paraId="3B7B25A6">
      <w:pPr>
        <w:spacing w:line="360" w:lineRule="auto"/>
        <w:ind w:firstLine="480" w:firstLineChars="200"/>
        <w:jc w:val="left"/>
        <w:rPr>
          <w:rFonts w:ascii="Times New Roman" w:hAnsi="Times New Roman"/>
          <w:sz w:val="24"/>
        </w:rPr>
      </w:pPr>
      <w:r>
        <w:rPr>
          <w:rFonts w:hint="eastAsia" w:ascii="Times New Roman" w:hAnsi="Times New Roman"/>
          <w:sz w:val="24"/>
        </w:rPr>
        <w:t>4.</w:t>
      </w:r>
      <w:r>
        <w:rPr>
          <w:rFonts w:ascii="Times New Roman" w:hAnsi="Times New Roman"/>
          <w:sz w:val="24"/>
        </w:rPr>
        <w:t>乙方所交的服务</w:t>
      </w:r>
      <w:r>
        <w:rPr>
          <w:rFonts w:hint="eastAsia" w:ascii="Times New Roman" w:hAnsi="Times New Roman"/>
          <w:sz w:val="24"/>
        </w:rPr>
        <w:t>成果</w:t>
      </w:r>
      <w:r>
        <w:rPr>
          <w:rFonts w:ascii="Times New Roman" w:hAnsi="Times New Roman"/>
          <w:sz w:val="24"/>
        </w:rPr>
        <w:t>质量不符合合同规定及招标文件规定标准的，甲方有权拒收该服务</w:t>
      </w:r>
      <w:r>
        <w:rPr>
          <w:rFonts w:hint="eastAsia" w:ascii="Times New Roman" w:hAnsi="Times New Roman"/>
          <w:sz w:val="24"/>
        </w:rPr>
        <w:t>成果</w:t>
      </w:r>
      <w:r>
        <w:rPr>
          <w:rFonts w:ascii="Times New Roman" w:hAnsi="Times New Roman"/>
          <w:sz w:val="24"/>
        </w:rPr>
        <w:t>，乙方愿意更换服务</w:t>
      </w:r>
      <w:r>
        <w:rPr>
          <w:rFonts w:hint="eastAsia" w:ascii="Times New Roman" w:hAnsi="Times New Roman"/>
          <w:sz w:val="24"/>
        </w:rPr>
        <w:t>成果</w:t>
      </w:r>
      <w:r>
        <w:rPr>
          <w:rFonts w:ascii="Times New Roman" w:hAnsi="Times New Roman"/>
          <w:sz w:val="24"/>
        </w:rPr>
        <w:t>但逾期交</w:t>
      </w:r>
      <w:r>
        <w:rPr>
          <w:rFonts w:hint="eastAsia" w:ascii="Times New Roman" w:hAnsi="Times New Roman"/>
          <w:sz w:val="24"/>
        </w:rPr>
        <w:t>付</w:t>
      </w:r>
      <w:r>
        <w:rPr>
          <w:rFonts w:ascii="Times New Roman" w:hAnsi="Times New Roman"/>
          <w:sz w:val="24"/>
        </w:rPr>
        <w:t>的，按乙方逾期交</w:t>
      </w:r>
      <w:r>
        <w:rPr>
          <w:rFonts w:hint="eastAsia" w:ascii="Times New Roman" w:hAnsi="Times New Roman"/>
          <w:sz w:val="24"/>
        </w:rPr>
        <w:t>付</w:t>
      </w:r>
      <w:r>
        <w:rPr>
          <w:rFonts w:ascii="Times New Roman" w:hAnsi="Times New Roman"/>
          <w:sz w:val="24"/>
        </w:rPr>
        <w:t>处理。乙方拒绝更换服务</w:t>
      </w:r>
      <w:r>
        <w:rPr>
          <w:rFonts w:hint="eastAsia" w:ascii="Times New Roman" w:hAnsi="Times New Roman"/>
          <w:sz w:val="24"/>
        </w:rPr>
        <w:t>成果</w:t>
      </w:r>
      <w:r>
        <w:rPr>
          <w:rFonts w:ascii="Times New Roman" w:hAnsi="Times New Roman"/>
          <w:sz w:val="24"/>
        </w:rPr>
        <w:t>的，甲方可单方面解除合同。</w:t>
      </w:r>
    </w:p>
    <w:p w14:paraId="458ABAD0">
      <w:pPr>
        <w:spacing w:line="360" w:lineRule="auto"/>
        <w:ind w:firstLine="482" w:firstLineChars="200"/>
        <w:jc w:val="left"/>
        <w:rPr>
          <w:rFonts w:ascii="Times New Roman" w:hAnsi="Times New Roman"/>
          <w:b/>
          <w:sz w:val="24"/>
        </w:rPr>
      </w:pPr>
      <w:r>
        <w:rPr>
          <w:rFonts w:hint="eastAsia" w:ascii="Times New Roman" w:hAnsi="Times New Roman"/>
          <w:b/>
          <w:sz w:val="24"/>
        </w:rPr>
        <w:t>九、合同变更</w:t>
      </w:r>
    </w:p>
    <w:p w14:paraId="298B78C7">
      <w:pPr>
        <w:widowControl/>
        <w:spacing w:line="360" w:lineRule="auto"/>
        <w:ind w:firstLine="480" w:firstLineChars="200"/>
        <w:jc w:val="left"/>
        <w:rPr>
          <w:rFonts w:ascii="Times New Roman" w:hAnsi="Times New Roman"/>
          <w:b/>
          <w:sz w:val="24"/>
        </w:rPr>
      </w:pPr>
      <w:r>
        <w:rPr>
          <w:rFonts w:hint="eastAsia" w:ascii="Times New Roman" w:hAnsi="Times New Roman"/>
          <w:sz w:val="24"/>
        </w:rPr>
        <w:t>1.乙方根据实际情况，发现合同原计划或方案不尽合理，确实需变更原合同约定的服务的，应及时通知甲方，并提出变更理由、修正方案，经双方协商并签署有关文件（作为合同附件）后实施。</w:t>
      </w:r>
    </w:p>
    <w:p w14:paraId="0DA77926">
      <w:pPr>
        <w:widowControl/>
        <w:spacing w:line="360" w:lineRule="auto"/>
        <w:ind w:firstLine="480" w:firstLineChars="200"/>
        <w:jc w:val="left"/>
        <w:rPr>
          <w:rFonts w:ascii="Times New Roman" w:hAnsi="Times New Roman"/>
          <w:sz w:val="24"/>
        </w:rPr>
      </w:pPr>
      <w:r>
        <w:rPr>
          <w:rFonts w:hint="eastAsia" w:ascii="Times New Roman" w:hAnsi="Times New Roman"/>
          <w:sz w:val="24"/>
        </w:rPr>
        <w:t>2.因甲方的原因变更合同服务的，甲方应以书面形式通知乙方，并经双方协商一致签署有关变更文件。如因此造成乙方履行合同义务的价格或时间增减，将对合同价、服务时间进行公平调整。乙方据此要求的调整必须在收到甲方通知后30天内提出。</w:t>
      </w:r>
    </w:p>
    <w:p w14:paraId="0C100826">
      <w:pPr>
        <w:widowControl/>
        <w:spacing w:line="360" w:lineRule="auto"/>
        <w:ind w:firstLine="480" w:firstLineChars="200"/>
        <w:jc w:val="left"/>
        <w:rPr>
          <w:rFonts w:ascii="Times New Roman" w:hAnsi="Times New Roman"/>
          <w:sz w:val="24"/>
        </w:rPr>
      </w:pPr>
      <w:r>
        <w:rPr>
          <w:rFonts w:hint="eastAsia" w:ascii="Times New Roman" w:hAnsi="Times New Roman"/>
          <w:sz w:val="24"/>
        </w:rPr>
        <w:t>3.无论是按原合同要求，或是根据现场实际情况作出变更提供服务，乙方都不能免除其对所提供服务应承担的责任。</w:t>
      </w:r>
    </w:p>
    <w:p w14:paraId="62D794E1">
      <w:pPr>
        <w:spacing w:line="360" w:lineRule="auto"/>
        <w:ind w:firstLine="482" w:firstLineChars="200"/>
        <w:jc w:val="left"/>
        <w:rPr>
          <w:rFonts w:ascii="Times New Roman" w:hAnsi="Times New Roman"/>
          <w:b/>
          <w:sz w:val="24"/>
        </w:rPr>
      </w:pPr>
      <w:r>
        <w:rPr>
          <w:rFonts w:hint="eastAsia" w:ascii="Times New Roman" w:hAnsi="Times New Roman"/>
          <w:b/>
          <w:sz w:val="24"/>
        </w:rPr>
        <w:t>十、合同解除和终止</w:t>
      </w:r>
    </w:p>
    <w:p w14:paraId="674AD788">
      <w:pPr>
        <w:widowControl/>
        <w:spacing w:line="360" w:lineRule="auto"/>
        <w:ind w:firstLine="480" w:firstLineChars="200"/>
        <w:jc w:val="left"/>
        <w:rPr>
          <w:rFonts w:ascii="Times New Roman" w:hAnsi="Times New Roman"/>
          <w:sz w:val="24"/>
        </w:rPr>
      </w:pPr>
      <w:r>
        <w:rPr>
          <w:rFonts w:hint="eastAsia" w:ascii="Times New Roman" w:hAnsi="Times New Roman"/>
          <w:sz w:val="24"/>
        </w:rPr>
        <w:t>1.合同自然终止</w:t>
      </w:r>
    </w:p>
    <w:p w14:paraId="2BE8572D">
      <w:pPr>
        <w:spacing w:line="360" w:lineRule="auto"/>
        <w:ind w:firstLine="480" w:firstLineChars="200"/>
        <w:jc w:val="left"/>
        <w:rPr>
          <w:rFonts w:ascii="Times New Roman" w:hAnsi="Times New Roman"/>
          <w:sz w:val="24"/>
        </w:rPr>
      </w:pPr>
      <w:r>
        <w:rPr>
          <w:rFonts w:hint="eastAsia" w:ascii="Times New Roman" w:hAnsi="Times New Roman"/>
          <w:sz w:val="24"/>
        </w:rPr>
        <w:t>甲乙双方各自完成合同规定的责任和义务，合同自然终止。</w:t>
      </w:r>
    </w:p>
    <w:p w14:paraId="184C05A1">
      <w:pPr>
        <w:spacing w:line="360" w:lineRule="auto"/>
        <w:ind w:firstLine="480" w:firstLineChars="200"/>
        <w:jc w:val="left"/>
        <w:rPr>
          <w:rFonts w:ascii="Times New Roman" w:hAnsi="Times New Roman"/>
          <w:sz w:val="24"/>
        </w:rPr>
      </w:pPr>
      <w:r>
        <w:rPr>
          <w:rFonts w:hint="eastAsia" w:ascii="Times New Roman" w:hAnsi="Times New Roman"/>
          <w:sz w:val="24"/>
        </w:rPr>
        <w:t>2.合同因甲方便利而解除或终止。</w:t>
      </w:r>
    </w:p>
    <w:p w14:paraId="7CE730D3">
      <w:pPr>
        <w:widowControl/>
        <w:spacing w:line="360" w:lineRule="auto"/>
        <w:ind w:firstLine="480" w:firstLineChars="200"/>
        <w:jc w:val="left"/>
        <w:rPr>
          <w:rFonts w:ascii="Times New Roman" w:hAnsi="Times New Roman"/>
          <w:sz w:val="24"/>
        </w:rPr>
      </w:pPr>
      <w:r>
        <w:rPr>
          <w:rFonts w:hint="eastAsia" w:ascii="Times New Roman" w:hAnsi="Times New Roman"/>
          <w:sz w:val="24"/>
        </w:rPr>
        <w:t>甲方可在任何时候出于自身的便利向乙方发出书面通知终止或部分终止合同，终止通知应明确该终止合同是出于甲方的便利，并明确合同终止的程度，以及终止的生效日期。</w:t>
      </w:r>
    </w:p>
    <w:p w14:paraId="51DAD6DA">
      <w:pPr>
        <w:widowControl/>
        <w:spacing w:line="360" w:lineRule="auto"/>
        <w:ind w:left="560"/>
        <w:jc w:val="left"/>
        <w:rPr>
          <w:rFonts w:ascii="Times New Roman" w:hAnsi="Times New Roman"/>
          <w:sz w:val="24"/>
        </w:rPr>
      </w:pPr>
      <w:r>
        <w:rPr>
          <w:rFonts w:hint="eastAsia" w:ascii="Times New Roman" w:hAnsi="Times New Roman"/>
          <w:sz w:val="24"/>
        </w:rPr>
        <w:t>3.违约违规终止合同</w:t>
      </w:r>
    </w:p>
    <w:p w14:paraId="426B53FB">
      <w:pPr>
        <w:spacing w:line="360" w:lineRule="auto"/>
        <w:ind w:firstLine="480" w:firstLineChars="200"/>
        <w:jc w:val="left"/>
        <w:rPr>
          <w:rFonts w:ascii="Times New Roman" w:hAnsi="Times New Roman"/>
          <w:sz w:val="24"/>
        </w:rPr>
      </w:pPr>
      <w:r>
        <w:rPr>
          <w:rFonts w:hint="eastAsia" w:ascii="Times New Roman" w:hAnsi="Times New Roman"/>
          <w:sz w:val="24"/>
        </w:rPr>
        <w:t>在甲方对乙方违约违规而采取的任何补救措施不受影响的情况下，甲方可向乙方发出书面的违约通知书，提出终止部分或全部合同：</w:t>
      </w:r>
    </w:p>
    <w:p w14:paraId="3EA6E0CC">
      <w:pPr>
        <w:widowControl/>
        <w:spacing w:line="360" w:lineRule="auto"/>
        <w:ind w:firstLine="480" w:firstLineChars="200"/>
        <w:jc w:val="left"/>
        <w:rPr>
          <w:rFonts w:ascii="Times New Roman" w:hAnsi="Times New Roman"/>
          <w:sz w:val="24"/>
        </w:rPr>
      </w:pPr>
      <w:r>
        <w:rPr>
          <w:rFonts w:hint="eastAsia" w:ascii="Times New Roman" w:hAnsi="Times New Roman"/>
          <w:sz w:val="24"/>
        </w:rPr>
        <w:t>3.1如果乙方未能在合同规定的期限内提供服务（参见本合同有关逾期交付的条款）；</w:t>
      </w:r>
    </w:p>
    <w:p w14:paraId="76F240A7">
      <w:pPr>
        <w:widowControl/>
        <w:spacing w:line="360" w:lineRule="auto"/>
        <w:ind w:firstLine="480" w:firstLineChars="200"/>
        <w:jc w:val="left"/>
        <w:rPr>
          <w:rFonts w:ascii="Times New Roman" w:hAnsi="Times New Roman"/>
          <w:sz w:val="24"/>
        </w:rPr>
      </w:pPr>
      <w:r>
        <w:rPr>
          <w:rFonts w:hint="eastAsia" w:ascii="Times New Roman" w:hAnsi="Times New Roman"/>
          <w:sz w:val="24"/>
        </w:rPr>
        <w:t>3.2如果乙方未能履行合同规定的其它任何义务；</w:t>
      </w:r>
    </w:p>
    <w:p w14:paraId="41919286">
      <w:pPr>
        <w:widowControl/>
        <w:spacing w:line="360" w:lineRule="auto"/>
        <w:ind w:firstLine="480" w:firstLineChars="200"/>
        <w:jc w:val="left"/>
        <w:rPr>
          <w:rFonts w:ascii="Times New Roman" w:hAnsi="Times New Roman"/>
          <w:sz w:val="24"/>
        </w:rPr>
      </w:pPr>
      <w:r>
        <w:rPr>
          <w:rFonts w:hint="eastAsia" w:ascii="Times New Roman" w:hAnsi="Times New Roman"/>
          <w:sz w:val="24"/>
        </w:rPr>
        <w:t>3.3如果甲方认为乙方在本合同的投标竞争和实施过程中有违反有关政府采购的法律、法规，涉嫌用不正当手段影响甲方采购过程，包括谎报或隐瞒事实、损害甲方利益、干扰甲方、评委、采购代理机构的招标、评标等行为。</w:t>
      </w:r>
    </w:p>
    <w:p w14:paraId="0EF9582B">
      <w:pPr>
        <w:spacing w:line="360" w:lineRule="auto"/>
        <w:ind w:firstLine="480" w:firstLineChars="200"/>
        <w:jc w:val="left"/>
        <w:rPr>
          <w:rFonts w:ascii="Times New Roman" w:hAnsi="Times New Roman"/>
          <w:sz w:val="24"/>
        </w:rPr>
      </w:pPr>
      <w:r>
        <w:rPr>
          <w:rFonts w:hint="eastAsia" w:ascii="Times New Roman" w:hAnsi="Times New Roman"/>
          <w:sz w:val="24"/>
        </w:rPr>
        <w:t>如果甲方根据本条的规定，终止了全部或部分合同，甲方可以依其认为适当的条件和方法采购乙方未交付的类似服务，乙方应承担甲方因采购类似服务而产生的额外支出。但是，乙方应继续执行合同中未终止的部分。</w:t>
      </w:r>
    </w:p>
    <w:p w14:paraId="5C64447F">
      <w:pPr>
        <w:widowControl/>
        <w:spacing w:line="360" w:lineRule="auto"/>
        <w:ind w:left="560"/>
        <w:jc w:val="left"/>
        <w:rPr>
          <w:rFonts w:ascii="Times New Roman" w:hAnsi="Times New Roman"/>
          <w:sz w:val="24"/>
        </w:rPr>
      </w:pPr>
      <w:r>
        <w:rPr>
          <w:rFonts w:hint="eastAsia" w:ascii="Times New Roman" w:hAnsi="Times New Roman"/>
          <w:sz w:val="24"/>
        </w:rPr>
        <w:t>4.因乙方破产而终止合同</w:t>
      </w:r>
    </w:p>
    <w:p w14:paraId="48EE1EA9">
      <w:pPr>
        <w:spacing w:line="360" w:lineRule="auto"/>
        <w:ind w:firstLine="480" w:firstLineChars="200"/>
        <w:jc w:val="left"/>
        <w:rPr>
          <w:rFonts w:ascii="Times New Roman" w:hAnsi="Times New Roman"/>
          <w:sz w:val="24"/>
        </w:rPr>
      </w:pPr>
      <w:r>
        <w:rPr>
          <w:rFonts w:hint="eastAsia" w:ascii="Times New Roman" w:hAnsi="Times New Roman"/>
          <w:sz w:val="24"/>
        </w:rPr>
        <w:t>如果乙方破产或无清偿能力，甲方可在任何时候以书面形式通知乙方，提出终止合同面不给乙方补偿。该合同的终止将不损害或影响甲方已经采取或将要采取的任何行动或补救措施的权力。</w:t>
      </w:r>
    </w:p>
    <w:p w14:paraId="4BAE8786">
      <w:pPr>
        <w:spacing w:line="360" w:lineRule="auto"/>
        <w:ind w:firstLine="482" w:firstLineChars="200"/>
        <w:jc w:val="left"/>
        <w:rPr>
          <w:rFonts w:ascii="Times New Roman" w:hAnsi="Times New Roman"/>
          <w:b/>
          <w:sz w:val="24"/>
        </w:rPr>
      </w:pPr>
      <w:r>
        <w:rPr>
          <w:rFonts w:hint="eastAsia" w:ascii="Times New Roman" w:hAnsi="Times New Roman"/>
          <w:b/>
          <w:sz w:val="24"/>
        </w:rPr>
        <w:t>十一、争端的解决</w:t>
      </w:r>
    </w:p>
    <w:p w14:paraId="3EDE1F65">
      <w:pPr>
        <w:widowControl/>
        <w:tabs>
          <w:tab w:val="left" w:pos="540"/>
        </w:tabs>
        <w:spacing w:line="360" w:lineRule="auto"/>
        <w:ind w:firstLine="480" w:firstLineChars="200"/>
        <w:jc w:val="left"/>
        <w:rPr>
          <w:rFonts w:ascii="Times New Roman" w:hAnsi="Times New Roman"/>
          <w:sz w:val="24"/>
        </w:rPr>
      </w:pPr>
      <w:r>
        <w:rPr>
          <w:rFonts w:hint="eastAsia" w:ascii="Times New Roman" w:hAnsi="Times New Roman"/>
          <w:sz w:val="24"/>
        </w:rPr>
        <w:t>1.凡与本合同有关的一切争议，甲乙双方应首先通过友好协商解决，如经协商后仍不能达成协议时，任何一方可以向法院提出诉讼。</w:t>
      </w:r>
    </w:p>
    <w:p w14:paraId="36B8CBE9">
      <w:pPr>
        <w:widowControl/>
        <w:tabs>
          <w:tab w:val="left" w:pos="540"/>
        </w:tabs>
        <w:spacing w:line="360" w:lineRule="auto"/>
        <w:ind w:firstLine="480" w:firstLineChars="200"/>
        <w:jc w:val="left"/>
        <w:rPr>
          <w:rFonts w:ascii="Times New Roman" w:hAnsi="Times New Roman"/>
          <w:sz w:val="24"/>
        </w:rPr>
      </w:pPr>
      <w:r>
        <w:rPr>
          <w:rFonts w:hint="eastAsia" w:ascii="Times New Roman" w:hAnsi="Times New Roman"/>
          <w:sz w:val="24"/>
        </w:rPr>
        <w:t>2.本合同的诉讼管辖为南通市崇川区人民法院。</w:t>
      </w:r>
    </w:p>
    <w:p w14:paraId="3CFEDD29">
      <w:pPr>
        <w:widowControl/>
        <w:tabs>
          <w:tab w:val="left" w:pos="540"/>
        </w:tabs>
        <w:spacing w:line="360" w:lineRule="auto"/>
        <w:ind w:firstLine="480" w:firstLineChars="200"/>
        <w:jc w:val="left"/>
        <w:rPr>
          <w:rFonts w:ascii="Times New Roman" w:hAnsi="Times New Roman"/>
          <w:sz w:val="24"/>
        </w:rPr>
      </w:pPr>
      <w:r>
        <w:rPr>
          <w:rFonts w:hint="eastAsia" w:ascii="Times New Roman" w:hAnsi="Times New Roman"/>
          <w:sz w:val="24"/>
        </w:rPr>
        <w:t>3.在法院审理期间，除提交法院审理的事项外，合同其他部分仍应继续履行。</w:t>
      </w:r>
    </w:p>
    <w:p w14:paraId="3585207B">
      <w:pPr>
        <w:spacing w:line="360" w:lineRule="auto"/>
        <w:ind w:firstLine="482" w:firstLineChars="200"/>
        <w:jc w:val="left"/>
        <w:rPr>
          <w:rFonts w:ascii="Times New Roman" w:hAnsi="Times New Roman"/>
          <w:b/>
          <w:sz w:val="24"/>
        </w:rPr>
      </w:pPr>
      <w:r>
        <w:rPr>
          <w:rFonts w:hint="eastAsia" w:ascii="Times New Roman" w:hAnsi="Times New Roman"/>
          <w:b/>
          <w:sz w:val="24"/>
        </w:rPr>
        <w:t>十二、适用法律</w:t>
      </w:r>
    </w:p>
    <w:p w14:paraId="6AAC615E">
      <w:pPr>
        <w:widowControl/>
        <w:tabs>
          <w:tab w:val="left" w:pos="540"/>
        </w:tabs>
        <w:spacing w:line="360" w:lineRule="auto"/>
        <w:ind w:left="560"/>
        <w:jc w:val="left"/>
        <w:rPr>
          <w:rFonts w:ascii="Times New Roman" w:hAnsi="Times New Roman"/>
          <w:sz w:val="24"/>
        </w:rPr>
      </w:pPr>
      <w:r>
        <w:rPr>
          <w:rFonts w:hint="eastAsia" w:ascii="Times New Roman" w:hAnsi="Times New Roman"/>
          <w:sz w:val="24"/>
        </w:rPr>
        <w:t>本合同按照中华人民共和国的法律进行解释。</w:t>
      </w:r>
    </w:p>
    <w:p w14:paraId="332EE56F">
      <w:pPr>
        <w:spacing w:line="360" w:lineRule="auto"/>
        <w:ind w:firstLine="482" w:firstLineChars="200"/>
        <w:jc w:val="left"/>
        <w:rPr>
          <w:rFonts w:ascii="Times New Roman" w:hAnsi="Times New Roman"/>
          <w:b/>
          <w:sz w:val="24"/>
        </w:rPr>
      </w:pPr>
      <w:r>
        <w:rPr>
          <w:rFonts w:hint="eastAsia" w:ascii="Times New Roman" w:hAnsi="Times New Roman"/>
          <w:b/>
          <w:sz w:val="24"/>
        </w:rPr>
        <w:t>十三、通知</w:t>
      </w:r>
    </w:p>
    <w:p w14:paraId="0243E39E">
      <w:pPr>
        <w:widowControl/>
        <w:spacing w:line="360" w:lineRule="auto"/>
        <w:ind w:firstLine="480" w:firstLineChars="200"/>
        <w:jc w:val="left"/>
        <w:rPr>
          <w:rFonts w:ascii="Times New Roman" w:hAnsi="Times New Roman"/>
          <w:sz w:val="24"/>
        </w:rPr>
      </w:pPr>
      <w:r>
        <w:rPr>
          <w:rFonts w:hint="eastAsia" w:ascii="Times New Roman" w:hAnsi="Times New Roman"/>
          <w:sz w:val="24"/>
        </w:rPr>
        <w:t>1.本合同一方给对方的通知应用书面形式送达对方的地址，电传或传真要经对方的书面形式确认，以电报形式通知的，以邮电局发出电报的第二天视为送达。</w:t>
      </w:r>
    </w:p>
    <w:p w14:paraId="787271FD">
      <w:pPr>
        <w:widowControl/>
        <w:spacing w:line="360" w:lineRule="auto"/>
        <w:ind w:firstLine="480" w:firstLineChars="200"/>
        <w:jc w:val="left"/>
        <w:rPr>
          <w:rFonts w:ascii="Times New Roman" w:hAnsi="Times New Roman"/>
          <w:sz w:val="24"/>
        </w:rPr>
      </w:pPr>
      <w:r>
        <w:rPr>
          <w:rFonts w:hint="eastAsia" w:ascii="Times New Roman" w:hAnsi="Times New Roman"/>
          <w:sz w:val="24"/>
        </w:rPr>
        <w:t>2.通知以送到日期或通知书的生效日期为生效日期，两者中以较迟的日期为准。</w:t>
      </w:r>
    </w:p>
    <w:p w14:paraId="4759469B">
      <w:pPr>
        <w:spacing w:line="360" w:lineRule="auto"/>
        <w:ind w:firstLine="482" w:firstLineChars="200"/>
        <w:jc w:val="left"/>
        <w:rPr>
          <w:rFonts w:ascii="Times New Roman" w:hAnsi="Times New Roman"/>
          <w:b/>
          <w:sz w:val="24"/>
        </w:rPr>
      </w:pPr>
      <w:r>
        <w:rPr>
          <w:rFonts w:hint="eastAsia" w:ascii="Times New Roman" w:hAnsi="Times New Roman"/>
          <w:b/>
          <w:sz w:val="24"/>
        </w:rPr>
        <w:t>十四、税</w:t>
      </w:r>
    </w:p>
    <w:p w14:paraId="35DBE290">
      <w:pPr>
        <w:widowControl/>
        <w:spacing w:line="360" w:lineRule="auto"/>
        <w:ind w:firstLine="480" w:firstLineChars="200"/>
        <w:jc w:val="left"/>
        <w:rPr>
          <w:rFonts w:ascii="Times New Roman" w:hAnsi="Times New Roman"/>
          <w:sz w:val="24"/>
        </w:rPr>
      </w:pPr>
      <w:r>
        <w:rPr>
          <w:rFonts w:hint="eastAsia" w:ascii="Times New Roman" w:hAnsi="Times New Roman"/>
          <w:sz w:val="24"/>
        </w:rPr>
        <w:t>根据中华人民共和国现行税法的有关规定执行。</w:t>
      </w:r>
    </w:p>
    <w:p w14:paraId="0305F568">
      <w:pPr>
        <w:spacing w:line="360" w:lineRule="auto"/>
        <w:ind w:firstLine="482" w:firstLineChars="200"/>
        <w:jc w:val="left"/>
        <w:rPr>
          <w:rFonts w:ascii="Times New Roman" w:hAnsi="Times New Roman"/>
          <w:b/>
          <w:sz w:val="24"/>
        </w:rPr>
      </w:pPr>
      <w:r>
        <w:rPr>
          <w:rFonts w:hint="eastAsia" w:ascii="Times New Roman" w:hAnsi="Times New Roman"/>
          <w:b/>
          <w:sz w:val="24"/>
        </w:rPr>
        <w:t>十五、合同生效</w:t>
      </w:r>
    </w:p>
    <w:p w14:paraId="5C84BFF3">
      <w:pPr>
        <w:widowControl/>
        <w:spacing w:line="360" w:lineRule="auto"/>
        <w:ind w:firstLine="480" w:firstLineChars="200"/>
        <w:jc w:val="left"/>
        <w:rPr>
          <w:rFonts w:ascii="Times New Roman" w:hAnsi="Times New Roman"/>
          <w:b/>
          <w:sz w:val="24"/>
        </w:rPr>
      </w:pPr>
      <w:r>
        <w:rPr>
          <w:rFonts w:hint="eastAsia" w:ascii="Times New Roman" w:hAnsi="Times New Roman"/>
          <w:sz w:val="24"/>
        </w:rPr>
        <w:t>合同经双方授权代表签字盖章后生效，合同签署日期以较迟签注的日期为准。</w:t>
      </w:r>
    </w:p>
    <w:p w14:paraId="04AA51E1">
      <w:pPr>
        <w:spacing w:line="360" w:lineRule="auto"/>
        <w:ind w:firstLine="482" w:firstLineChars="200"/>
        <w:jc w:val="left"/>
        <w:rPr>
          <w:rFonts w:ascii="Times New Roman" w:hAnsi="Times New Roman"/>
          <w:b/>
          <w:sz w:val="24"/>
        </w:rPr>
      </w:pPr>
      <w:r>
        <w:rPr>
          <w:rFonts w:hint="eastAsia" w:ascii="Times New Roman" w:hAnsi="Times New Roman"/>
          <w:b/>
          <w:sz w:val="24"/>
        </w:rPr>
        <w:t>十六、其它</w:t>
      </w:r>
    </w:p>
    <w:p w14:paraId="74726DED">
      <w:pPr>
        <w:widowControl/>
        <w:spacing w:line="360" w:lineRule="auto"/>
        <w:ind w:firstLine="480" w:firstLineChars="200"/>
        <w:jc w:val="left"/>
        <w:rPr>
          <w:rFonts w:ascii="Times New Roman" w:hAnsi="Times New Roman"/>
          <w:b/>
          <w:sz w:val="24"/>
        </w:rPr>
      </w:pPr>
      <w:r>
        <w:rPr>
          <w:rFonts w:hint="eastAsia" w:ascii="Times New Roman" w:hAnsi="Times New Roman"/>
          <w:sz w:val="24"/>
        </w:rPr>
        <w:t>成交通知书、响应文件、采购文件及本合同之所有附件均为本合同的有效组成部分，与本合同具有同样法律效力，解释的顺序以文件生成时间在后的为准。</w:t>
      </w:r>
    </w:p>
    <w:p w14:paraId="6F328FA0">
      <w:pPr>
        <w:widowControl/>
        <w:spacing w:line="360" w:lineRule="auto"/>
        <w:ind w:firstLine="480" w:firstLineChars="200"/>
        <w:jc w:val="left"/>
        <w:rPr>
          <w:rFonts w:ascii="Times New Roman" w:hAnsi="Times New Roman"/>
          <w:b/>
          <w:sz w:val="24"/>
        </w:rPr>
      </w:pPr>
      <w:r>
        <w:rPr>
          <w:rFonts w:hint="eastAsia" w:ascii="Times New Roman" w:hAnsi="Times New Roman"/>
          <w:sz w:val="24"/>
        </w:rPr>
        <w:t>在执行本合同的过程中，所有经甲乙双方签署确认的文件（包括会议纪要、补充协议、合同修改书、往来信函等）均为本合同的有效组成部分，其生效日期为双方均签字盖章或确认之日期。</w:t>
      </w:r>
    </w:p>
    <w:p w14:paraId="75A06D22">
      <w:pPr>
        <w:widowControl/>
        <w:spacing w:line="360" w:lineRule="auto"/>
        <w:ind w:firstLine="464" w:firstLineChars="200"/>
        <w:jc w:val="left"/>
        <w:rPr>
          <w:rFonts w:ascii="Times New Roman" w:hAnsi="Times New Roman"/>
          <w:b/>
          <w:spacing w:val="-4"/>
          <w:sz w:val="24"/>
        </w:rPr>
      </w:pPr>
      <w:r>
        <w:rPr>
          <w:rFonts w:hint="eastAsia" w:ascii="Times New Roman" w:hAnsi="Times New Roman"/>
          <w:spacing w:val="-4"/>
          <w:sz w:val="24"/>
        </w:rPr>
        <w:t>除甲方事先以书面形式确认同意外，乙方不得部分或全部转让其应履行的合同项下的义务。</w:t>
      </w:r>
    </w:p>
    <w:p w14:paraId="416FD834">
      <w:pPr>
        <w:widowControl/>
        <w:spacing w:line="360" w:lineRule="auto"/>
        <w:ind w:firstLine="480" w:firstLineChars="200"/>
        <w:jc w:val="left"/>
        <w:rPr>
          <w:rFonts w:ascii="Times New Roman" w:hAnsi="Times New Roman"/>
          <w:b/>
          <w:sz w:val="24"/>
        </w:rPr>
      </w:pPr>
      <w:r>
        <w:rPr>
          <w:rFonts w:hint="eastAsia" w:ascii="Times New Roman" w:hAnsi="Times New Roman"/>
          <w:sz w:val="24"/>
        </w:rPr>
        <w:t>本合同一式四份，双方各执贰份。</w:t>
      </w:r>
    </w:p>
    <w:p w14:paraId="100D0C05">
      <w:pPr>
        <w:ind w:firstLine="480" w:firstLineChars="200"/>
        <w:rPr>
          <w:rFonts w:ascii="Times New Roman" w:hAnsi="Times New Roman"/>
          <w:sz w:val="24"/>
        </w:rPr>
      </w:pPr>
      <w:r>
        <w:rPr>
          <w:rFonts w:hint="eastAsia" w:ascii="Times New Roman" w:hAnsi="Times New Roman"/>
          <w:sz w:val="24"/>
        </w:rPr>
        <w:t>本合同合计页A4纸张，缺页之合同为无效合同。</w:t>
      </w:r>
    </w:p>
    <w:p w14:paraId="65FFD387">
      <w:pPr>
        <w:tabs>
          <w:tab w:val="left" w:pos="4640"/>
        </w:tabs>
        <w:spacing w:line="360" w:lineRule="auto"/>
        <w:ind w:firstLine="480" w:firstLineChars="200"/>
        <w:jc w:val="left"/>
        <w:rPr>
          <w:rFonts w:ascii="Times New Roman" w:hAnsi="Times New Roman"/>
          <w:sz w:val="24"/>
        </w:rPr>
      </w:pPr>
    </w:p>
    <w:p w14:paraId="6FD8B82F">
      <w:pPr>
        <w:tabs>
          <w:tab w:val="left" w:pos="4640"/>
        </w:tabs>
        <w:spacing w:line="360" w:lineRule="auto"/>
        <w:jc w:val="left"/>
        <w:rPr>
          <w:rFonts w:ascii="Times New Roman" w:hAnsi="Times New Roman"/>
          <w:sz w:val="24"/>
        </w:rPr>
      </w:pPr>
    </w:p>
    <w:p w14:paraId="014AFB05">
      <w:pPr>
        <w:tabs>
          <w:tab w:val="left" w:pos="4640"/>
        </w:tabs>
        <w:spacing w:line="360" w:lineRule="auto"/>
        <w:ind w:firstLine="480" w:firstLineChars="200"/>
        <w:jc w:val="left"/>
        <w:rPr>
          <w:rFonts w:ascii="Times New Roman" w:hAnsi="Times New Roman"/>
          <w:sz w:val="24"/>
        </w:rPr>
      </w:pPr>
      <w:r>
        <w:rPr>
          <w:rFonts w:hint="eastAsia" w:ascii="Times New Roman" w:hAnsi="Times New Roman"/>
          <w:sz w:val="24"/>
        </w:rPr>
        <w:t>甲方（盖章）：</w:t>
      </w:r>
      <w:r>
        <w:rPr>
          <w:rFonts w:hint="eastAsia" w:ascii="Times New Roman" w:hAnsi="Times New Roman"/>
          <w:sz w:val="24"/>
        </w:rPr>
        <w:tab/>
      </w:r>
      <w:r>
        <w:rPr>
          <w:rFonts w:hint="eastAsia" w:ascii="Times New Roman" w:hAnsi="Times New Roman"/>
          <w:sz w:val="24"/>
        </w:rPr>
        <w:t>乙方（盖章）：</w:t>
      </w:r>
    </w:p>
    <w:p w14:paraId="5AB62905">
      <w:pPr>
        <w:tabs>
          <w:tab w:val="left" w:pos="4500"/>
        </w:tabs>
        <w:spacing w:line="360" w:lineRule="auto"/>
        <w:ind w:firstLine="480" w:firstLineChars="200"/>
        <w:jc w:val="left"/>
        <w:rPr>
          <w:rFonts w:ascii="Times New Roman" w:hAnsi="Times New Roman"/>
          <w:sz w:val="24"/>
        </w:rPr>
      </w:pPr>
      <w:r>
        <w:rPr>
          <w:rFonts w:hint="eastAsia" w:ascii="Times New Roman" w:hAnsi="Times New Roman"/>
          <w:sz w:val="24"/>
        </w:rPr>
        <w:t>甲方法定代表                       乙方法定代表（签字）</w:t>
      </w:r>
    </w:p>
    <w:p w14:paraId="721F97E4">
      <w:pPr>
        <w:tabs>
          <w:tab w:val="left" w:pos="4640"/>
        </w:tabs>
        <w:spacing w:line="360" w:lineRule="auto"/>
        <w:ind w:firstLine="480" w:firstLineChars="200"/>
        <w:jc w:val="left"/>
        <w:rPr>
          <w:rFonts w:ascii="Times New Roman" w:hAnsi="Times New Roman"/>
          <w:sz w:val="24"/>
        </w:rPr>
      </w:pPr>
      <w:r>
        <w:rPr>
          <w:rFonts w:hint="eastAsia" w:ascii="Times New Roman" w:hAnsi="Times New Roman"/>
          <w:sz w:val="24"/>
        </w:rPr>
        <w:t>或委托代理人（签字）：</w:t>
      </w:r>
      <w:r>
        <w:rPr>
          <w:rFonts w:hint="eastAsia" w:ascii="Times New Roman" w:hAnsi="Times New Roman"/>
          <w:sz w:val="24"/>
        </w:rPr>
        <w:tab/>
      </w:r>
      <w:r>
        <w:rPr>
          <w:rFonts w:hint="eastAsia" w:ascii="Times New Roman" w:hAnsi="Times New Roman"/>
          <w:sz w:val="24"/>
        </w:rPr>
        <w:t>或委托代理人（签字）：</w:t>
      </w:r>
    </w:p>
    <w:p w14:paraId="69AD196B">
      <w:pPr>
        <w:spacing w:line="360" w:lineRule="auto"/>
        <w:ind w:firstLine="480" w:firstLineChars="200"/>
        <w:jc w:val="left"/>
        <w:rPr>
          <w:rFonts w:ascii="Times New Roman" w:hAnsi="Times New Roman"/>
          <w:sz w:val="24"/>
        </w:rPr>
      </w:pPr>
    </w:p>
    <w:p w14:paraId="3EBCD3F4">
      <w:pPr>
        <w:pStyle w:val="10"/>
        <w:ind w:firstLine="480" w:firstLineChars="200"/>
        <w:rPr>
          <w:sz w:val="24"/>
        </w:rPr>
      </w:pPr>
      <w:r>
        <w:rPr>
          <w:rFonts w:hint="eastAsia"/>
          <w:kern w:val="2"/>
          <w:sz w:val="24"/>
        </w:rPr>
        <w:t>二0二五年</w:t>
      </w:r>
      <w:r>
        <w:rPr>
          <w:rFonts w:hint="eastAsia"/>
          <w:kern w:val="2"/>
          <w:sz w:val="24"/>
          <w:lang w:val="en-US" w:eastAsia="zh-CN"/>
        </w:rPr>
        <w:t xml:space="preserve">  </w:t>
      </w:r>
      <w:r>
        <w:rPr>
          <w:rFonts w:hint="eastAsia"/>
          <w:kern w:val="2"/>
          <w:sz w:val="24"/>
        </w:rPr>
        <w:t>月</w:t>
      </w:r>
      <w:r>
        <w:rPr>
          <w:rFonts w:hint="eastAsia"/>
          <w:kern w:val="2"/>
          <w:sz w:val="24"/>
          <w:lang w:val="en-US" w:eastAsia="zh-CN"/>
        </w:rPr>
        <w:t xml:space="preserve">  </w:t>
      </w:r>
      <w:r>
        <w:rPr>
          <w:rFonts w:hint="eastAsia"/>
          <w:kern w:val="2"/>
          <w:sz w:val="24"/>
        </w:rPr>
        <w:t>日                     二0二五年</w:t>
      </w:r>
      <w:r>
        <w:rPr>
          <w:rFonts w:hint="eastAsia"/>
          <w:kern w:val="2"/>
          <w:sz w:val="24"/>
          <w:lang w:val="en-US" w:eastAsia="zh-CN"/>
        </w:rPr>
        <w:t xml:space="preserve">  </w:t>
      </w:r>
      <w:r>
        <w:rPr>
          <w:rFonts w:hint="eastAsia"/>
          <w:kern w:val="2"/>
          <w:sz w:val="24"/>
        </w:rPr>
        <w:t>月</w:t>
      </w:r>
      <w:r>
        <w:rPr>
          <w:rFonts w:hint="eastAsia"/>
          <w:kern w:val="2"/>
          <w:sz w:val="24"/>
          <w:lang w:val="en-US" w:eastAsia="zh-CN"/>
        </w:rPr>
        <w:t xml:space="preserve">  </w:t>
      </w:r>
      <w:r>
        <w:rPr>
          <w:rFonts w:hint="eastAsia"/>
          <w:kern w:val="2"/>
          <w:sz w:val="24"/>
        </w:rPr>
        <w:t>日</w:t>
      </w:r>
    </w:p>
    <w:p w14:paraId="219F9F5B">
      <w:pPr>
        <w:rPr>
          <w:rFonts w:ascii="Times New Roman" w:hAnsi="Times New Roman" w:cs="方正小标宋简体"/>
          <w:b/>
          <w:sz w:val="44"/>
          <w:szCs w:val="44"/>
        </w:rPr>
      </w:pPr>
      <w:r>
        <w:rPr>
          <w:rFonts w:ascii="Times New Roman" w:hAnsi="Times New Roman" w:cs="方正小标宋简体"/>
          <w:b/>
          <w:sz w:val="44"/>
          <w:szCs w:val="44"/>
        </w:rPr>
        <w:br w:type="page"/>
      </w:r>
    </w:p>
    <w:p w14:paraId="362924A5">
      <w:pPr>
        <w:spacing w:line="720" w:lineRule="auto"/>
        <w:jc w:val="center"/>
        <w:rPr>
          <w:rFonts w:ascii="Times New Roman" w:hAnsi="Times New Roman"/>
          <w:sz w:val="28"/>
          <w:szCs w:val="28"/>
        </w:rPr>
      </w:pPr>
      <w:r>
        <w:rPr>
          <w:rFonts w:hint="eastAsia" w:ascii="Times New Roman" w:hAnsi="Times New Roman" w:cs="方正小标宋简体"/>
          <w:b/>
          <w:sz w:val="44"/>
          <w:szCs w:val="44"/>
          <w:lang w:val="zh-CN"/>
        </w:rPr>
        <w:t>第七章 质疑提出和处理</w:t>
      </w:r>
    </w:p>
    <w:p w14:paraId="5B412F7E">
      <w:pPr>
        <w:adjustRightInd w:val="0"/>
        <w:snapToGrid w:val="0"/>
        <w:spacing w:line="360" w:lineRule="auto"/>
        <w:ind w:firstLine="482" w:firstLineChars="200"/>
        <w:jc w:val="left"/>
        <w:textAlignment w:val="baseline"/>
        <w:rPr>
          <w:rFonts w:ascii="宋体" w:hAnsi="宋体" w:cs="宋体"/>
          <w:b/>
          <w:bCs/>
          <w:snapToGrid w:val="0"/>
          <w:kern w:val="0"/>
          <w:sz w:val="24"/>
        </w:rPr>
      </w:pPr>
      <w:r>
        <w:rPr>
          <w:rFonts w:hint="eastAsia" w:ascii="宋体" w:hAnsi="宋体" w:cs="宋体"/>
          <w:b/>
          <w:bCs/>
          <w:snapToGrid w:val="0"/>
          <w:kern w:val="0"/>
          <w:sz w:val="24"/>
        </w:rPr>
        <w:t>一、质疑的提出</w:t>
      </w:r>
    </w:p>
    <w:p w14:paraId="20C7ACFB">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1、提出质疑的供应商应当是参与所质疑项目采购活动的供应商。潜在供应商依法获取其可质疑的采购文件的，可以对采购文件提出质疑。</w:t>
      </w:r>
    </w:p>
    <w:p w14:paraId="467F4CE1">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43AA218">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2.1对可以质疑的采购文件提出质疑的，为收到采购文件之日或者采购文件公告期限届满之日；</w:t>
      </w:r>
    </w:p>
    <w:p w14:paraId="765A0DE4">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2.2对采购过程提出质疑的，为各采购程序环节结束之日；</w:t>
      </w:r>
    </w:p>
    <w:p w14:paraId="1110B99F">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2.3对成交结果提出质疑的，为成交结果公告期限届满之日。</w:t>
      </w:r>
    </w:p>
    <w:p w14:paraId="1F8D1F76">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供应商应当在法定质疑期内一次性提出针对同一采购程序环节的质疑。</w:t>
      </w:r>
    </w:p>
    <w:p w14:paraId="11D16D64">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3、质疑函必须按照本采购文件中《质疑函范本》要求的格式和内容进行填写。供应商如组成联合体参加采购活动，则《质疑函范本》中要求签字、盖章、加盖公章之处，联合体各方均须按要求签字、盖章、加盖公章。</w:t>
      </w:r>
    </w:p>
    <w:p w14:paraId="3810BC7A">
      <w:pPr>
        <w:adjustRightInd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4、对项目需求部分（供应商其他资格要求、项目需求、评分标准）的询问、质疑请向采购人提出，由采购人负责答复；对项目磋商文件其他部分的询问请向采购人或招标代理提出。</w:t>
      </w:r>
    </w:p>
    <w:p w14:paraId="47AE68D3">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采购人、招标代理质疑接收人及联系方式，见采购文件第一章。</w:t>
      </w:r>
    </w:p>
    <w:p w14:paraId="16B00BE8">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 以下情形的质疑不予受理</w:t>
      </w:r>
    </w:p>
    <w:p w14:paraId="6A2E9AFF">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5.1 内容不符合《政府采购质疑和投诉办法》财政部第94号令第十二条规定的质疑。</w:t>
      </w:r>
    </w:p>
    <w:p w14:paraId="2352F5CB">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5.2 超出政府采购法定期限的质疑。</w:t>
      </w:r>
    </w:p>
    <w:p w14:paraId="68FE3B6B">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5.3 未参加采购活动的供应商。</w:t>
      </w:r>
    </w:p>
    <w:p w14:paraId="2CDCA4D2">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5.4供应商组成联合体参加采购活动，联合体中任何一方或多方未按要求签字、盖章、加盖公章的质疑。</w:t>
      </w:r>
    </w:p>
    <w:p w14:paraId="32C72910">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7101C95">
      <w:pPr>
        <w:adjustRightInd w:val="0"/>
        <w:snapToGrid w:val="0"/>
        <w:spacing w:line="360" w:lineRule="auto"/>
        <w:jc w:val="left"/>
        <w:textAlignment w:val="baseline"/>
        <w:rPr>
          <w:rFonts w:ascii="宋体" w:hAnsi="宋体" w:cs="宋体"/>
          <w:snapToGrid w:val="0"/>
          <w:kern w:val="0"/>
          <w:sz w:val="24"/>
        </w:rPr>
      </w:pPr>
      <w:r>
        <w:rPr>
          <w:rFonts w:hint="eastAsia" w:ascii="宋体" w:hAnsi="宋体" w:cs="宋体"/>
          <w:snapToGrid w:val="0"/>
          <w:kern w:val="0"/>
          <w:sz w:val="24"/>
        </w:rPr>
        <w:br w:type="page"/>
      </w:r>
      <w:r>
        <w:rPr>
          <w:rFonts w:hint="eastAsia" w:ascii="宋体" w:hAnsi="宋体" w:cs="宋体"/>
          <w:snapToGrid w:val="0"/>
          <w:kern w:val="0"/>
          <w:sz w:val="24"/>
        </w:rPr>
        <w:t>附件：</w:t>
      </w:r>
    </w:p>
    <w:p w14:paraId="423A5743">
      <w:pPr>
        <w:adjustRightInd w:val="0"/>
        <w:snapToGrid w:val="0"/>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质疑函范本</w:t>
      </w:r>
    </w:p>
    <w:p w14:paraId="5BA8DCC4">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一、质疑供应商基本信息</w:t>
      </w:r>
    </w:p>
    <w:p w14:paraId="37D8E8F9">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质疑供应商：</w:t>
      </w:r>
    </w:p>
    <w:p w14:paraId="34D8F3D4">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地址：邮编：</w:t>
      </w:r>
    </w:p>
    <w:p w14:paraId="544D9208">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联系人：联系电话：</w:t>
      </w:r>
    </w:p>
    <w:p w14:paraId="79928040">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授权代表：</w:t>
      </w:r>
    </w:p>
    <w:p w14:paraId="17748880">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联系电话：</w:t>
      </w:r>
    </w:p>
    <w:p w14:paraId="2F16DACB">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地址：邮编：</w:t>
      </w:r>
    </w:p>
    <w:p w14:paraId="2BB3EC4E">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二、质疑项目基本情况</w:t>
      </w:r>
    </w:p>
    <w:p w14:paraId="21E92A40">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质疑项目的名称：</w:t>
      </w:r>
    </w:p>
    <w:p w14:paraId="6FA89AEE">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质疑项目的编号：包号：</w:t>
      </w:r>
    </w:p>
    <w:p w14:paraId="5445DFD8">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采购人名称：</w:t>
      </w:r>
    </w:p>
    <w:p w14:paraId="33C828B7">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采购文件获取日期：</w:t>
      </w:r>
    </w:p>
    <w:p w14:paraId="3FFD12DF">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三、质疑事项具体内容</w:t>
      </w:r>
    </w:p>
    <w:p w14:paraId="7AD005F5">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质疑事项1：</w:t>
      </w:r>
    </w:p>
    <w:p w14:paraId="6BCB8AFA">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事实依据：</w:t>
      </w:r>
    </w:p>
    <w:p w14:paraId="13E40A52">
      <w:pPr>
        <w:adjustRightInd w:val="0"/>
        <w:snapToGrid w:val="0"/>
        <w:spacing w:line="360" w:lineRule="auto"/>
        <w:ind w:firstLine="480" w:firstLineChars="200"/>
        <w:jc w:val="left"/>
        <w:textAlignment w:val="baseline"/>
        <w:rPr>
          <w:rFonts w:ascii="宋体" w:hAnsi="宋体" w:cs="宋体"/>
          <w:snapToGrid w:val="0"/>
          <w:kern w:val="0"/>
          <w:sz w:val="24"/>
        </w:rPr>
      </w:pPr>
    </w:p>
    <w:p w14:paraId="5874E708">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法律依据：</w:t>
      </w:r>
    </w:p>
    <w:p w14:paraId="7DD8906B">
      <w:pPr>
        <w:adjustRightInd w:val="0"/>
        <w:snapToGrid w:val="0"/>
        <w:spacing w:line="360" w:lineRule="auto"/>
        <w:ind w:firstLine="480" w:firstLineChars="200"/>
        <w:jc w:val="left"/>
        <w:textAlignment w:val="baseline"/>
        <w:rPr>
          <w:rFonts w:ascii="宋体" w:hAnsi="宋体" w:cs="宋体"/>
          <w:snapToGrid w:val="0"/>
          <w:kern w:val="0"/>
          <w:sz w:val="24"/>
        </w:rPr>
      </w:pPr>
    </w:p>
    <w:p w14:paraId="771AD31F">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质疑事项2</w:t>
      </w:r>
    </w:p>
    <w:p w14:paraId="446939AB">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w:t>
      </w:r>
    </w:p>
    <w:p w14:paraId="2EF27000">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四、与质疑事项相关的质疑请求</w:t>
      </w:r>
    </w:p>
    <w:p w14:paraId="02DC1FE5">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请求：</w:t>
      </w:r>
    </w:p>
    <w:p w14:paraId="649D803C">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 xml:space="preserve">签字(签章)：                   公章：                      </w:t>
      </w:r>
    </w:p>
    <w:p w14:paraId="2F169FE6">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 xml:space="preserve">日期：    </w:t>
      </w:r>
    </w:p>
    <w:p w14:paraId="5313528F">
      <w:pPr>
        <w:adjustRightInd w:val="0"/>
        <w:snapToGrid w:val="0"/>
        <w:spacing w:line="360" w:lineRule="auto"/>
        <w:ind w:firstLine="480" w:firstLineChars="200"/>
        <w:jc w:val="left"/>
        <w:textAlignment w:val="baseline"/>
        <w:rPr>
          <w:rFonts w:ascii="宋体" w:hAnsi="宋体" w:cs="宋体"/>
          <w:snapToGrid w:val="0"/>
          <w:kern w:val="0"/>
          <w:sz w:val="24"/>
        </w:rPr>
      </w:pPr>
    </w:p>
    <w:p w14:paraId="3A626DD0">
      <w:pPr>
        <w:adjustRightInd w:val="0"/>
        <w:snapToGrid w:val="0"/>
        <w:spacing w:line="360" w:lineRule="auto"/>
        <w:ind w:firstLine="480" w:firstLineChars="200"/>
        <w:jc w:val="left"/>
        <w:textAlignment w:val="baseline"/>
        <w:rPr>
          <w:rFonts w:ascii="宋体" w:hAnsi="宋体" w:cs="宋体"/>
          <w:snapToGrid w:val="0"/>
          <w:kern w:val="0"/>
          <w:sz w:val="24"/>
        </w:rPr>
      </w:pPr>
    </w:p>
    <w:p w14:paraId="749E5BFC">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br w:type="page"/>
      </w:r>
    </w:p>
    <w:p w14:paraId="2996FECC">
      <w:pPr>
        <w:adjustRightInd w:val="0"/>
        <w:snapToGrid w:val="0"/>
        <w:spacing w:line="360" w:lineRule="auto"/>
        <w:jc w:val="left"/>
        <w:textAlignment w:val="baseline"/>
        <w:rPr>
          <w:rFonts w:ascii="宋体" w:hAnsi="宋体" w:cs="宋体"/>
          <w:b/>
          <w:bCs/>
          <w:snapToGrid w:val="0"/>
          <w:kern w:val="0"/>
          <w:sz w:val="24"/>
        </w:rPr>
      </w:pPr>
      <w:r>
        <w:rPr>
          <w:rFonts w:hint="eastAsia" w:ascii="宋体" w:hAnsi="宋体" w:cs="宋体"/>
          <w:b/>
          <w:bCs/>
          <w:snapToGrid w:val="0"/>
          <w:kern w:val="0"/>
          <w:sz w:val="24"/>
        </w:rPr>
        <w:t>质疑函制作说明：</w:t>
      </w:r>
    </w:p>
    <w:p w14:paraId="25C9C884">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1、供应商提出质疑时，应提交质疑函和必要的证明材料。</w:t>
      </w:r>
    </w:p>
    <w:p w14:paraId="377EC4BE">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9CCCA7">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3、质疑供应商若对项目的某一分包进行质疑，质疑函中应列明具体分包号。</w:t>
      </w:r>
    </w:p>
    <w:p w14:paraId="160E3B31">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4、质疑函的质疑事项应具体、明确，并有必要的事实依据和法律依据。</w:t>
      </w:r>
    </w:p>
    <w:p w14:paraId="314F7033">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5、质疑函的质疑请求应与质疑事项相关。</w:t>
      </w:r>
    </w:p>
    <w:p w14:paraId="2ABF97CC">
      <w:pPr>
        <w:adjustRightInd w:val="0"/>
        <w:snapToGrid w:val="0"/>
        <w:spacing w:line="360" w:lineRule="auto"/>
        <w:ind w:firstLine="480" w:firstLineChars="200"/>
        <w:jc w:val="left"/>
        <w:textAlignment w:val="baseline"/>
        <w:rPr>
          <w:rFonts w:ascii="宋体" w:hAnsi="宋体" w:cs="宋体"/>
          <w:snapToGrid w:val="0"/>
          <w:kern w:val="0"/>
          <w:sz w:val="24"/>
        </w:rPr>
      </w:pPr>
      <w:r>
        <w:rPr>
          <w:rFonts w:hint="eastAsia" w:ascii="宋体" w:hAnsi="宋体" w:cs="宋体"/>
          <w:snapToGrid w:val="0"/>
          <w:kern w:val="0"/>
          <w:sz w:val="24"/>
        </w:rPr>
        <w:t>6、质疑供应商为自然人的，质疑函应由本人签字；质疑供应商为法人或者其他组织的，质疑函应由法定代表人、主要负责人，或者其授权代表签字或者盖章，并加盖公章。</w:t>
      </w:r>
    </w:p>
    <w:p w14:paraId="1808B9E0">
      <w:pPr>
        <w:spacing w:line="720" w:lineRule="auto"/>
        <w:ind w:firstLine="560" w:firstLineChars="200"/>
        <w:jc w:val="center"/>
        <w:rPr>
          <w:rFonts w:ascii="Times New Roman" w:hAnsi="Times New Roman" w:cs="仿宋"/>
          <w:b/>
          <w:sz w:val="44"/>
          <w:szCs w:val="44"/>
          <w:lang w:val="zh-CN"/>
        </w:rPr>
      </w:pPr>
      <w:r>
        <w:rPr>
          <w:rFonts w:hint="eastAsia" w:ascii="Times New Roman" w:hAnsi="Times New Roman" w:cs="宋体"/>
          <w:sz w:val="28"/>
          <w:szCs w:val="28"/>
        </w:rPr>
        <w:br w:type="page"/>
      </w:r>
      <w:r>
        <w:rPr>
          <w:rFonts w:hint="eastAsia" w:ascii="Times New Roman" w:hAnsi="Times New Roman" w:cs="方正小标宋简体"/>
          <w:b/>
          <w:sz w:val="44"/>
          <w:szCs w:val="44"/>
          <w:lang w:val="zh-CN"/>
        </w:rPr>
        <w:t>第八章 响应文件组成及格式</w:t>
      </w:r>
    </w:p>
    <w:p w14:paraId="2F97F8C5">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响应文件由资格审查文件、技术文件、报价文件、电子响应文件四部分组成。本次采购应采用资格后审方式，供应商须将资格审查文件作为响应文件组成部分，按采购文件要求装订密封后一起递交。</w:t>
      </w:r>
    </w:p>
    <w:p w14:paraId="6D0A72FD">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一、资格审查文件（壹正贰副制作、密封）：</w:t>
      </w:r>
    </w:p>
    <w:p w14:paraId="2DD4AAE9">
      <w:pPr>
        <w:spacing w:line="360" w:lineRule="auto"/>
        <w:ind w:firstLine="480" w:firstLineChars="200"/>
        <w:rPr>
          <w:rFonts w:ascii="Times New Roman" w:hAnsi="Times New Roman" w:cs="宋体"/>
          <w:sz w:val="24"/>
        </w:rPr>
      </w:pPr>
      <w:r>
        <w:rPr>
          <w:rFonts w:hint="eastAsia" w:ascii="Times New Roman" w:hAnsi="Times New Roman" w:cs="宋体"/>
          <w:kern w:val="0"/>
          <w:sz w:val="24"/>
        </w:rPr>
        <w:t>1、</w:t>
      </w:r>
      <w:r>
        <w:rPr>
          <w:rFonts w:hint="eastAsia" w:ascii="Times New Roman" w:hAnsi="Times New Roman"/>
          <w:sz w:val="24"/>
        </w:rPr>
        <w:t>供应商须为中华人民共和国境内合法成立的律师事务所，具有有效的《律师事务所执业许可证》，且正常进行年检</w:t>
      </w:r>
      <w:r>
        <w:rPr>
          <w:rFonts w:hint="eastAsia" w:ascii="Times New Roman" w:hAnsi="Times New Roman" w:cs="宋体"/>
          <w:sz w:val="24"/>
        </w:rPr>
        <w:t>；</w:t>
      </w:r>
    </w:p>
    <w:p w14:paraId="30AA5840">
      <w:pPr>
        <w:spacing w:line="360" w:lineRule="auto"/>
        <w:ind w:firstLine="480" w:firstLineChars="200"/>
        <w:rPr>
          <w:rFonts w:ascii="Times New Roman" w:hAnsi="Times New Roman" w:cs="宋体"/>
          <w:kern w:val="0"/>
          <w:sz w:val="24"/>
        </w:rPr>
      </w:pPr>
      <w:r>
        <w:rPr>
          <w:rFonts w:hint="eastAsia" w:ascii="Times New Roman" w:hAnsi="Times New Roman" w:cs="宋体"/>
          <w:kern w:val="0"/>
          <w:sz w:val="24"/>
        </w:rPr>
        <w:t>2、</w:t>
      </w:r>
      <w:r>
        <w:rPr>
          <w:rFonts w:hint="eastAsia" w:ascii="Times New Roman" w:hAnsi="Times New Roman"/>
          <w:sz w:val="24"/>
        </w:rPr>
        <w:t>法定代理人（负责人）参加磋商的，必须提供法定代理人（负责人）身份证明及法定代理人（负责人）本人身份证复印件；非法定代理人（负责人）参加磋商的，必须提供法定代理人（负责人）签名或盖章的授权委托书及法定代理人（负责人）和被授权人两个人的身份证复印件（格式见附件）</w:t>
      </w:r>
      <w:r>
        <w:rPr>
          <w:rFonts w:hint="eastAsia" w:ascii="Times New Roman" w:hAnsi="Times New Roman" w:cs="宋体"/>
          <w:kern w:val="0"/>
          <w:sz w:val="24"/>
        </w:rPr>
        <w:t>；</w:t>
      </w:r>
    </w:p>
    <w:p w14:paraId="12A1447C">
      <w:pPr>
        <w:spacing w:line="360" w:lineRule="auto"/>
        <w:ind w:firstLine="480" w:firstLineChars="200"/>
        <w:rPr>
          <w:rFonts w:ascii="Times New Roman" w:hAnsi="Times New Roman" w:cs="宋体"/>
          <w:sz w:val="24"/>
        </w:rPr>
      </w:pPr>
      <w:r>
        <w:rPr>
          <w:rFonts w:hint="eastAsia" w:ascii="Times New Roman" w:hAnsi="Times New Roman" w:cs="宋体"/>
          <w:sz w:val="24"/>
        </w:rPr>
        <w:t>3、提供供应商符合《中华人民共和国政府采购法》第二十二条规定条件的声明函。</w:t>
      </w:r>
    </w:p>
    <w:p w14:paraId="2A52C638">
      <w:pPr>
        <w:spacing w:line="360" w:lineRule="auto"/>
        <w:ind w:firstLine="480" w:firstLineChars="200"/>
        <w:rPr>
          <w:rFonts w:ascii="Times New Roman" w:hAnsi="Times New Roman" w:cs="宋体"/>
          <w:sz w:val="24"/>
        </w:rPr>
      </w:pPr>
      <w:r>
        <w:rPr>
          <w:rFonts w:hint="eastAsia" w:ascii="Times New Roman" w:hAnsi="Times New Roman" w:cs="宋体"/>
          <w:sz w:val="24"/>
        </w:rPr>
        <w:t>4、诚信承诺书（格式参见附件）。</w:t>
      </w:r>
    </w:p>
    <w:p w14:paraId="05310D4E">
      <w:pPr>
        <w:pStyle w:val="2"/>
        <w:spacing w:line="360" w:lineRule="auto"/>
        <w:ind w:firstLine="480" w:firstLineChars="200"/>
        <w:jc w:val="both"/>
        <w:rPr>
          <w:rFonts w:ascii="Times New Roman" w:hAnsi="Times New Roman" w:cs="宋体"/>
        </w:rPr>
      </w:pPr>
      <w:r>
        <w:rPr>
          <w:rFonts w:hint="eastAsia" w:ascii="Times New Roman" w:hAnsi="Times New Roman" w:cs="宋体"/>
        </w:rPr>
        <w:t>5、磋商文件其他必要的材料。</w:t>
      </w:r>
    </w:p>
    <w:p w14:paraId="185D3CE7">
      <w:pPr>
        <w:spacing w:line="360" w:lineRule="auto"/>
        <w:ind w:firstLine="482" w:firstLineChars="200"/>
        <w:rPr>
          <w:rFonts w:ascii="Times New Roman" w:hAnsi="Times New Roman" w:cs="宋体"/>
          <w:b/>
          <w:kern w:val="0"/>
          <w:sz w:val="24"/>
        </w:rPr>
      </w:pPr>
      <w:r>
        <w:rPr>
          <w:rFonts w:hint="eastAsia" w:ascii="Times New Roman" w:hAnsi="Times New Roman" w:cs="宋体"/>
          <w:b/>
          <w:kern w:val="0"/>
          <w:sz w:val="24"/>
        </w:rPr>
        <w:t>注：以上材料如为复印件均需加盖供应商单位公章。</w:t>
      </w:r>
    </w:p>
    <w:p w14:paraId="1811DD58">
      <w:pPr>
        <w:spacing w:line="360" w:lineRule="auto"/>
        <w:ind w:firstLine="480" w:firstLineChars="200"/>
        <w:rPr>
          <w:rFonts w:ascii="Times New Roman" w:hAnsi="Times New Roman" w:cs="宋体"/>
          <w:b/>
          <w:bCs/>
          <w:kern w:val="0"/>
          <w:sz w:val="24"/>
          <w:lang w:val="zh-CN"/>
        </w:rPr>
      </w:pPr>
      <w:r>
        <w:rPr>
          <w:rFonts w:hint="eastAsia" w:ascii="Times New Roman" w:hAnsi="Times New Roman" w:cs="宋体"/>
          <w:kern w:val="0"/>
          <w:sz w:val="24"/>
          <w:lang w:val="zh-CN"/>
        </w:rPr>
        <w:t>特别提醒：“资格审查文件”所须提供的材料（须加盖供应商公章）按磋商文件要求装订，密封，递交。</w:t>
      </w:r>
      <w:r>
        <w:rPr>
          <w:rFonts w:hint="eastAsia" w:ascii="Times New Roman" w:hAnsi="Times New Roman" w:cs="宋体"/>
          <w:b/>
          <w:bCs/>
          <w:kern w:val="0"/>
          <w:sz w:val="24"/>
          <w:lang w:val="zh-CN"/>
        </w:rPr>
        <w:t>“资格审查文件”所涉及到的复印件、扫描件请务必复印、打印清楚，因资料不清楚所引起的后果由供应商自行承担。</w:t>
      </w:r>
    </w:p>
    <w:p w14:paraId="7724ECE3">
      <w:pPr>
        <w:snapToGrid w:val="0"/>
        <w:spacing w:line="360" w:lineRule="auto"/>
        <w:ind w:firstLine="482" w:firstLineChars="200"/>
        <w:outlineLvl w:val="1"/>
        <w:rPr>
          <w:rFonts w:ascii="Times New Roman" w:hAnsi="Times New Roman" w:cs="宋体"/>
          <w:sz w:val="24"/>
        </w:rPr>
      </w:pPr>
      <w:r>
        <w:rPr>
          <w:rFonts w:hint="eastAsia" w:ascii="Times New Roman" w:hAnsi="Times New Roman" w:cs="宋体"/>
          <w:b/>
          <w:sz w:val="24"/>
        </w:rPr>
        <w:t>二、技术文件</w:t>
      </w:r>
      <w:r>
        <w:rPr>
          <w:rFonts w:hint="eastAsia" w:ascii="Times New Roman" w:hAnsi="Times New Roman" w:cs="宋体"/>
          <w:b/>
          <w:bCs/>
          <w:sz w:val="24"/>
        </w:rPr>
        <w:t>（壹正贰副制作、密封）</w:t>
      </w:r>
    </w:p>
    <w:p w14:paraId="1BDECDAA">
      <w:pPr>
        <w:autoSpaceDE w:val="0"/>
        <w:autoSpaceDN w:val="0"/>
        <w:adjustRightInd w:val="0"/>
        <w:snapToGrid w:val="0"/>
        <w:spacing w:line="360" w:lineRule="auto"/>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1、磋商响应函（格式参见附件）。</w:t>
      </w:r>
    </w:p>
    <w:p w14:paraId="5CF6AEA0">
      <w:pPr>
        <w:autoSpaceDE w:val="0"/>
        <w:autoSpaceDN w:val="0"/>
        <w:adjustRightInd w:val="0"/>
        <w:snapToGrid w:val="0"/>
        <w:spacing w:line="360" w:lineRule="auto"/>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2、</w:t>
      </w:r>
      <w:r>
        <w:rPr>
          <w:rFonts w:hint="eastAsia" w:ascii="宋体" w:hAnsi="宋体" w:cs="宋体"/>
          <w:snapToGrid w:val="0"/>
          <w:kern w:val="0"/>
          <w:sz w:val="24"/>
          <w:lang w:val="zh-CN"/>
        </w:rPr>
        <w:t>商务技术正负偏离表</w:t>
      </w:r>
      <w:r>
        <w:rPr>
          <w:rFonts w:hint="eastAsia" w:ascii="宋体" w:hAnsi="宋体" w:cs="宋体"/>
          <w:snapToGrid w:val="0"/>
          <w:kern w:val="0"/>
          <w:sz w:val="24"/>
        </w:rPr>
        <w:t>（格式参见附件）；</w:t>
      </w:r>
    </w:p>
    <w:p w14:paraId="095CECB7">
      <w:pPr>
        <w:adjustRightInd w:val="0"/>
        <w:snapToGrid w:val="0"/>
        <w:spacing w:line="360" w:lineRule="auto"/>
        <w:ind w:firstLine="480" w:firstLineChars="200"/>
        <w:jc w:val="left"/>
        <w:textAlignment w:val="baseline"/>
        <w:rPr>
          <w:rFonts w:ascii="宋体" w:hAnsi="宋体" w:cs="宋体"/>
          <w:bCs/>
          <w:snapToGrid w:val="0"/>
          <w:kern w:val="0"/>
          <w:sz w:val="24"/>
        </w:rPr>
      </w:pPr>
      <w:r>
        <w:rPr>
          <w:rFonts w:hint="eastAsia" w:ascii="宋体" w:hAnsi="宋体" w:cs="宋体"/>
          <w:bCs/>
          <w:snapToGrid w:val="0"/>
          <w:kern w:val="0"/>
          <w:sz w:val="24"/>
        </w:rPr>
        <w:t>3、磋商文件中评分标准所涉及的事项需提供的所有资料；</w:t>
      </w:r>
    </w:p>
    <w:p w14:paraId="4E6A3EF0">
      <w:pPr>
        <w:adjustRightInd w:val="0"/>
        <w:snapToGrid w:val="0"/>
        <w:spacing w:line="360" w:lineRule="auto"/>
        <w:ind w:firstLine="480" w:firstLineChars="200"/>
        <w:jc w:val="left"/>
        <w:textAlignment w:val="baseline"/>
        <w:rPr>
          <w:rFonts w:ascii="Times New Roman" w:hAnsi="Times New Roman" w:cs="宋体"/>
          <w:bCs/>
          <w:sz w:val="24"/>
        </w:rPr>
      </w:pPr>
      <w:r>
        <w:rPr>
          <w:rFonts w:hint="eastAsia" w:ascii="宋体" w:hAnsi="宋体" w:cs="宋体"/>
          <w:bCs/>
          <w:snapToGrid w:val="0"/>
          <w:kern w:val="0"/>
          <w:sz w:val="24"/>
        </w:rPr>
        <w:t>4、磋商文件中未涉及的事项，供应商认为需要提交的其他资料。</w:t>
      </w:r>
    </w:p>
    <w:p w14:paraId="4761A10B">
      <w:pPr>
        <w:snapToGrid w:val="0"/>
        <w:spacing w:line="360" w:lineRule="auto"/>
        <w:ind w:firstLine="482" w:firstLineChars="200"/>
        <w:outlineLvl w:val="1"/>
        <w:rPr>
          <w:rFonts w:ascii="Times New Roman" w:hAnsi="Times New Roman" w:cs="宋体"/>
          <w:b/>
          <w:bCs/>
          <w:sz w:val="24"/>
        </w:rPr>
      </w:pPr>
      <w:r>
        <w:rPr>
          <w:rFonts w:hint="eastAsia" w:ascii="Times New Roman" w:hAnsi="Times New Roman" w:cs="宋体"/>
          <w:b/>
          <w:bCs/>
          <w:sz w:val="24"/>
        </w:rPr>
        <w:t>特别提醒：“资格审查文件”、“技术响应文件”所须提供的材料按磋商文件要求装订，密封，递交。</w:t>
      </w:r>
    </w:p>
    <w:p w14:paraId="6944730F">
      <w:pPr>
        <w:snapToGrid w:val="0"/>
        <w:spacing w:line="360" w:lineRule="auto"/>
        <w:ind w:firstLine="482" w:firstLineChars="200"/>
        <w:outlineLvl w:val="1"/>
        <w:rPr>
          <w:rFonts w:ascii="Times New Roman" w:hAnsi="Times New Roman" w:cs="宋体"/>
          <w:b/>
          <w:bCs/>
          <w:sz w:val="24"/>
        </w:rPr>
      </w:pPr>
      <w:r>
        <w:rPr>
          <w:rFonts w:hint="eastAsia" w:ascii="Times New Roman" w:hAnsi="Times New Roman" w:cs="宋体"/>
          <w:b/>
          <w:bCs/>
          <w:sz w:val="24"/>
        </w:rPr>
        <w:t>三、商务报价响应文件（壹正贰副制作、密封；</w:t>
      </w:r>
      <w:r>
        <w:rPr>
          <w:rFonts w:hint="eastAsia" w:ascii="Times New Roman" w:hAnsi="Times New Roman" w:cs="宋体"/>
          <w:b/>
          <w:sz w:val="24"/>
        </w:rPr>
        <w:t>且</w:t>
      </w:r>
      <w:r>
        <w:rPr>
          <w:rFonts w:hint="eastAsia" w:ascii="Times New Roman" w:hAnsi="Times New Roman" w:cs="宋体"/>
          <w:b/>
          <w:bCs/>
          <w:sz w:val="24"/>
        </w:rPr>
        <w:t>不得出现在资格审查及商务技术文件中）</w:t>
      </w:r>
    </w:p>
    <w:p w14:paraId="4CFCB1E8">
      <w:pPr>
        <w:pStyle w:val="2"/>
        <w:spacing w:line="360" w:lineRule="auto"/>
        <w:ind w:firstLine="480" w:firstLineChars="200"/>
        <w:rPr>
          <w:rFonts w:ascii="Times New Roman" w:hAnsi="Times New Roman" w:cs="宋体"/>
        </w:rPr>
      </w:pPr>
      <w:r>
        <w:rPr>
          <w:rFonts w:hint="eastAsia" w:ascii="Times New Roman" w:hAnsi="Times New Roman" w:cs="宋体"/>
        </w:rPr>
        <w:t>1、磋商响应报价表</w:t>
      </w:r>
      <w:r>
        <w:rPr>
          <w:rFonts w:hint="eastAsia" w:ascii="Times New Roman" w:hAnsi="Times New Roman" w:cs="宋体"/>
          <w:lang w:val="zh-CN"/>
        </w:rPr>
        <w:t>（格式见附件）【</w:t>
      </w:r>
      <w:r>
        <w:rPr>
          <w:rFonts w:hint="eastAsia" w:ascii="Times New Roman" w:hAnsi="Times New Roman" w:cs="宋体"/>
        </w:rPr>
        <w:t>加盖单位公章</w:t>
      </w:r>
      <w:r>
        <w:rPr>
          <w:rFonts w:hint="eastAsia" w:ascii="Times New Roman" w:hAnsi="Times New Roman" w:cs="宋体"/>
          <w:lang w:val="zh-CN"/>
        </w:rPr>
        <w:t>】</w:t>
      </w:r>
    </w:p>
    <w:p w14:paraId="0951B472">
      <w:pPr>
        <w:snapToGrid w:val="0"/>
        <w:spacing w:line="360" w:lineRule="auto"/>
        <w:ind w:firstLine="463" w:firstLineChars="192"/>
        <w:contextualSpacing/>
        <w:rPr>
          <w:rFonts w:ascii="宋体" w:hAnsi="宋体" w:cs="宋体"/>
          <w:b/>
          <w:bCs/>
          <w:kern w:val="0"/>
          <w:sz w:val="24"/>
          <w:lang w:val="zh-CN"/>
        </w:rPr>
      </w:pPr>
      <w:r>
        <w:rPr>
          <w:rFonts w:hint="eastAsia" w:cs="宋体"/>
          <w:b/>
          <w:bCs/>
          <w:sz w:val="24"/>
          <w:szCs w:val="21"/>
        </w:rPr>
        <w:t>四、</w:t>
      </w:r>
      <w:r>
        <w:rPr>
          <w:rFonts w:hint="eastAsia" w:ascii="宋体" w:hAnsi="宋体" w:cs="宋体"/>
          <w:b/>
          <w:bCs/>
          <w:kern w:val="0"/>
          <w:sz w:val="24"/>
          <w:lang w:val="zh-CN"/>
        </w:rPr>
        <w:t>电子响应文件（一份、单独密封提供）</w:t>
      </w:r>
    </w:p>
    <w:p w14:paraId="5C9828CE">
      <w:pPr>
        <w:snapToGrid w:val="0"/>
        <w:spacing w:line="360" w:lineRule="auto"/>
        <w:ind w:firstLine="460" w:firstLineChars="192"/>
        <w:contextualSpacing/>
        <w:rPr>
          <w:rFonts w:ascii="宋体" w:hAnsi="宋体" w:cs="宋体"/>
          <w:kern w:val="0"/>
          <w:sz w:val="24"/>
          <w:lang w:val="zh-CN"/>
        </w:rPr>
      </w:pPr>
      <w:r>
        <w:rPr>
          <w:rFonts w:hint="eastAsia" w:ascii="宋体" w:hAnsi="宋体" w:cs="宋体"/>
          <w:kern w:val="0"/>
          <w:sz w:val="24"/>
          <w:lang w:val="zh-CN"/>
        </w:rPr>
        <w:t>电子响应文件的内容为“资格审查文件、技术标文件、商务标文件”的打印盖章（或电子签章）后的响应文件的扫描件（资格审查文件、技术标文件、商务标文件需分别逐页连续扫描为三个独立的PDF文件）。</w:t>
      </w:r>
    </w:p>
    <w:p w14:paraId="31B48084">
      <w:pPr>
        <w:pStyle w:val="2"/>
        <w:spacing w:line="360" w:lineRule="auto"/>
        <w:ind w:firstLine="480" w:firstLineChars="200"/>
        <w:rPr>
          <w:rFonts w:ascii="Times New Roman" w:hAnsi="Times New Roman" w:cs="宋体"/>
        </w:rPr>
      </w:pPr>
    </w:p>
    <w:p w14:paraId="02F9968A">
      <w:pPr>
        <w:snapToGrid w:val="0"/>
        <w:spacing w:line="520" w:lineRule="exact"/>
        <w:jc w:val="left"/>
        <w:outlineLvl w:val="3"/>
        <w:rPr>
          <w:rFonts w:ascii="Times New Roman" w:hAnsi="Times New Roman" w:cs="宋体"/>
          <w:b/>
          <w:bCs/>
          <w:sz w:val="24"/>
        </w:rPr>
      </w:pPr>
      <w:r>
        <w:rPr>
          <w:rFonts w:hint="eastAsia" w:ascii="Times New Roman" w:hAnsi="Times New Roman" w:cs="仿宋"/>
          <w:sz w:val="32"/>
          <w:szCs w:val="32"/>
        </w:rPr>
        <w:br w:type="page"/>
      </w:r>
      <w:r>
        <w:rPr>
          <w:rFonts w:hint="eastAsia" w:ascii="Times New Roman" w:hAnsi="Times New Roman" w:cs="宋体"/>
          <w:b/>
          <w:bCs/>
          <w:sz w:val="24"/>
        </w:rPr>
        <w:t>附件：</w:t>
      </w:r>
    </w:p>
    <w:p w14:paraId="4C7168CE">
      <w:pPr>
        <w:tabs>
          <w:tab w:val="left" w:pos="4050"/>
        </w:tabs>
        <w:spacing w:line="360" w:lineRule="auto"/>
        <w:jc w:val="center"/>
        <w:rPr>
          <w:rFonts w:ascii="Times New Roman" w:hAnsi="Times New Roman"/>
          <w:b/>
          <w:sz w:val="28"/>
          <w:szCs w:val="28"/>
        </w:rPr>
      </w:pPr>
      <w:r>
        <w:rPr>
          <w:rFonts w:hint="eastAsia" w:cs="宋体"/>
          <w:b/>
          <w:bCs/>
          <w:sz w:val="30"/>
          <w:szCs w:val="30"/>
        </w:rPr>
        <w:t>1、</w:t>
      </w:r>
      <w:r>
        <w:rPr>
          <w:rFonts w:hint="eastAsia" w:ascii="Times New Roman" w:hAnsi="Times New Roman"/>
          <w:b/>
          <w:sz w:val="28"/>
          <w:szCs w:val="28"/>
        </w:rPr>
        <w:t>法定代理人（负责人）身份证明</w:t>
      </w:r>
    </w:p>
    <w:p w14:paraId="10906174">
      <w:pPr>
        <w:snapToGrid w:val="0"/>
        <w:spacing w:line="520" w:lineRule="exact"/>
        <w:jc w:val="center"/>
        <w:rPr>
          <w:rFonts w:ascii="Times New Roman" w:hAnsi="Times New Roman" w:cs="宋体"/>
          <w:sz w:val="24"/>
        </w:rPr>
      </w:pPr>
      <w:r>
        <w:rPr>
          <w:rFonts w:hint="eastAsia" w:ascii="Times New Roman" w:hAnsi="Times New Roman" w:cs="宋体"/>
          <w:sz w:val="24"/>
        </w:rPr>
        <w:t>（如法定代理人（负责人）参加磋商，须出示此证明）</w:t>
      </w:r>
    </w:p>
    <w:p w14:paraId="0E8AA12E">
      <w:pPr>
        <w:snapToGrid w:val="0"/>
        <w:spacing w:line="520" w:lineRule="exact"/>
        <w:jc w:val="center"/>
        <w:rPr>
          <w:rFonts w:ascii="Times New Roman" w:hAnsi="Times New Roman" w:cs="宋体"/>
          <w:sz w:val="24"/>
        </w:rPr>
      </w:pPr>
    </w:p>
    <w:p w14:paraId="06FBDC59">
      <w:pPr>
        <w:snapToGrid w:val="0"/>
        <w:spacing w:line="520" w:lineRule="exact"/>
        <w:jc w:val="left"/>
        <w:rPr>
          <w:rFonts w:ascii="Times New Roman" w:hAnsi="Times New Roman" w:cs="宋体"/>
          <w:b/>
          <w:sz w:val="24"/>
          <w:u w:val="single"/>
        </w:rPr>
      </w:pPr>
      <w:r>
        <w:rPr>
          <w:rFonts w:hint="eastAsia" w:ascii="Times New Roman" w:hAnsi="Times New Roman" w:cs="宋体"/>
          <w:b/>
          <w:sz w:val="24"/>
          <w:u w:val="single"/>
        </w:rPr>
        <w:t xml:space="preserve">                           :</w:t>
      </w:r>
    </w:p>
    <w:p w14:paraId="2D0FA187">
      <w:pPr>
        <w:snapToGrid w:val="0"/>
        <w:spacing w:line="520" w:lineRule="exact"/>
        <w:ind w:firstLine="480" w:firstLineChars="200"/>
        <w:rPr>
          <w:rFonts w:ascii="Times New Roman" w:hAnsi="Times New Roman" w:cs="宋体"/>
          <w:sz w:val="24"/>
        </w:rPr>
      </w:pPr>
      <w:r>
        <w:rPr>
          <w:rFonts w:hint="eastAsia" w:ascii="Times New Roman" w:hAnsi="Times New Roman" w:cs="宋体"/>
          <w:sz w:val="24"/>
        </w:rPr>
        <w:t>我公司法定代理人（负责人）</w:t>
      </w:r>
      <w:r>
        <w:rPr>
          <w:rFonts w:hint="eastAsia" w:ascii="Times New Roman" w:hAnsi="Times New Roman" w:cs="宋体"/>
          <w:sz w:val="24"/>
          <w:u w:val="single"/>
        </w:rPr>
        <w:t xml:space="preserve">     　　　   </w:t>
      </w:r>
      <w:r>
        <w:rPr>
          <w:rFonts w:hint="eastAsia" w:ascii="Times New Roman" w:hAnsi="Times New Roman" w:cs="宋体"/>
          <w:sz w:val="24"/>
        </w:rPr>
        <w:t>参加贵单位组织的（竞争性磋商项目名称)项目的磋商活动，全权代表我公司处理竞争性磋商的有关事宜。</w:t>
      </w:r>
    </w:p>
    <w:p w14:paraId="1EF20EBA">
      <w:pPr>
        <w:snapToGrid w:val="0"/>
        <w:spacing w:line="520" w:lineRule="exact"/>
        <w:rPr>
          <w:rFonts w:ascii="Times New Roman" w:hAnsi="Times New Roman" w:cs="宋体"/>
          <w:sz w:val="24"/>
        </w:rPr>
      </w:pPr>
      <w:r>
        <w:rPr>
          <w:rFonts w:hint="eastAsia" w:ascii="Times New Roman" w:hAnsi="Times New Roman" w:cs="宋体"/>
          <w:sz w:val="24"/>
        </w:rPr>
        <w:t>附：法定代理人（负责人）情况：</w:t>
      </w:r>
    </w:p>
    <w:p w14:paraId="2B5F3803">
      <w:pPr>
        <w:snapToGrid w:val="0"/>
        <w:spacing w:line="520" w:lineRule="exact"/>
        <w:rPr>
          <w:rFonts w:ascii="Times New Roman" w:hAnsi="Times New Roman" w:cs="宋体"/>
          <w:sz w:val="24"/>
          <w:u w:val="single"/>
        </w:rPr>
      </w:pPr>
      <w:r>
        <w:rPr>
          <w:rFonts w:hint="eastAsia" w:ascii="Times New Roman" w:hAnsi="Times New Roman" w:cs="宋体"/>
          <w:sz w:val="24"/>
        </w:rPr>
        <w:t>姓名：性别：年龄：职务：</w:t>
      </w:r>
    </w:p>
    <w:p w14:paraId="7AB375A5">
      <w:pPr>
        <w:snapToGrid w:val="0"/>
        <w:spacing w:line="520" w:lineRule="exact"/>
        <w:rPr>
          <w:rFonts w:ascii="Times New Roman" w:hAnsi="Times New Roman" w:cs="宋体"/>
          <w:sz w:val="24"/>
        </w:rPr>
      </w:pPr>
      <w:r>
        <w:rPr>
          <w:rFonts w:hint="eastAsia" w:ascii="Times New Roman" w:hAnsi="Times New Roman" w:cs="宋体"/>
          <w:sz w:val="24"/>
        </w:rPr>
        <w:t>身份证号码：</w:t>
      </w:r>
    </w:p>
    <w:p w14:paraId="456EB416">
      <w:pPr>
        <w:snapToGrid w:val="0"/>
        <w:spacing w:line="520" w:lineRule="exact"/>
        <w:rPr>
          <w:rFonts w:ascii="Times New Roman" w:hAnsi="Times New Roman" w:cs="宋体"/>
          <w:sz w:val="24"/>
        </w:rPr>
      </w:pPr>
      <w:r>
        <w:rPr>
          <w:rFonts w:hint="eastAsia" w:ascii="Times New Roman" w:hAnsi="Times New Roman" w:cs="宋体"/>
          <w:sz w:val="24"/>
        </w:rPr>
        <w:t>手机：传真：</w:t>
      </w:r>
    </w:p>
    <w:p w14:paraId="5EC1413E">
      <w:pPr>
        <w:snapToGrid w:val="0"/>
        <w:spacing w:line="520" w:lineRule="exact"/>
        <w:rPr>
          <w:rFonts w:ascii="Times New Roman" w:hAnsi="Times New Roman" w:cs="宋体"/>
          <w:sz w:val="24"/>
        </w:rPr>
      </w:pPr>
      <w:r>
        <w:rPr>
          <w:rFonts w:hint="eastAsia" w:ascii="Times New Roman" w:hAnsi="Times New Roman" w:cs="宋体"/>
          <w:sz w:val="24"/>
        </w:rPr>
        <w:t> </w:t>
      </w:r>
    </w:p>
    <w:p w14:paraId="7F037D4E">
      <w:pPr>
        <w:snapToGrid w:val="0"/>
        <w:spacing w:line="520" w:lineRule="exact"/>
        <w:rPr>
          <w:rFonts w:ascii="Times New Roman" w:hAnsi="Times New Roman" w:cs="宋体"/>
          <w:sz w:val="24"/>
        </w:rPr>
      </w:pPr>
    </w:p>
    <w:p w14:paraId="2EF9EB18">
      <w:pPr>
        <w:snapToGrid w:val="0"/>
        <w:spacing w:line="520" w:lineRule="exact"/>
        <w:rPr>
          <w:rFonts w:ascii="Times New Roman" w:hAnsi="Times New Roman" w:cs="宋体"/>
          <w:sz w:val="24"/>
        </w:rPr>
      </w:pPr>
      <w:r>
        <w:rPr>
          <w:rFonts w:hint="eastAsia" w:ascii="Times New Roman" w:hAnsi="Times New Roman" w:cs="宋体"/>
          <w:sz w:val="24"/>
        </w:rPr>
        <w:t>单位名称（公章）             法定代理人（负责人）（签字或盖章）</w:t>
      </w:r>
    </w:p>
    <w:p w14:paraId="01264131">
      <w:pPr>
        <w:snapToGrid w:val="0"/>
        <w:spacing w:line="520" w:lineRule="exact"/>
        <w:ind w:firstLine="1200" w:firstLineChars="500"/>
        <w:rPr>
          <w:rFonts w:ascii="Times New Roman" w:hAnsi="Times New Roman" w:cs="宋体"/>
          <w:sz w:val="24"/>
        </w:rPr>
      </w:pPr>
      <w:r>
        <w:rPr>
          <w:rFonts w:hint="eastAsia" w:ascii="Times New Roman" w:hAnsi="Times New Roman" w:cs="宋体"/>
          <w:sz w:val="24"/>
        </w:rPr>
        <w:t xml:space="preserve">年   月   日                 年   月    日  </w:t>
      </w:r>
    </w:p>
    <w:p w14:paraId="4536B181">
      <w:pPr>
        <w:snapToGrid w:val="0"/>
        <w:spacing w:line="520" w:lineRule="exact"/>
        <w:rPr>
          <w:rFonts w:ascii="Times New Roman" w:hAnsi="Times New Roman" w:cs="宋体"/>
          <w:sz w:val="24"/>
        </w:rPr>
      </w:pPr>
    </w:p>
    <w:p w14:paraId="6CE2FF00">
      <w:pPr>
        <w:snapToGrid w:val="0"/>
        <w:spacing w:line="520" w:lineRule="exact"/>
        <w:rPr>
          <w:rFonts w:ascii="Times New Roman" w:hAnsi="Times New Roman" w:cs="宋体"/>
          <w:sz w:val="24"/>
        </w:rPr>
      </w:pPr>
      <w:r>
        <w:rPr>
          <w:rFonts w:hint="eastAsia" w:ascii="Times New Roman" w:hAnsi="Times New Roman" w:cs="宋体"/>
          <w:sz w:val="24"/>
        </w:rPr>
        <w:t>法定代理人（负责人）身份证复印件</w:t>
      </w:r>
    </w:p>
    <w:p w14:paraId="45B90141">
      <w:pPr>
        <w:snapToGrid w:val="0"/>
        <w:spacing w:line="520" w:lineRule="exact"/>
        <w:rPr>
          <w:rFonts w:ascii="Times New Roman" w:hAnsi="Times New Roman" w:cs="宋体"/>
          <w:sz w:val="24"/>
        </w:rPr>
      </w:pPr>
    </w:p>
    <w:p w14:paraId="41D51343">
      <w:pPr>
        <w:snapToGrid w:val="0"/>
        <w:spacing w:line="520" w:lineRule="exact"/>
        <w:ind w:firstLine="2280" w:firstLineChars="950"/>
        <w:rPr>
          <w:rFonts w:ascii="Times New Roman" w:hAnsi="Times New Roman" w:cs="宋体"/>
          <w:sz w:val="24"/>
        </w:rPr>
      </w:pPr>
      <w:r>
        <w:rPr>
          <w:rFonts w:hint="eastAsia" w:ascii="Times New Roman" w:hAnsi="Times New Roman" w:cs="宋体"/>
          <w:sz w:val="24"/>
        </w:rPr>
        <w:t>（粘贴此处）</w:t>
      </w:r>
    </w:p>
    <w:p w14:paraId="1E0484D0">
      <w:pPr>
        <w:snapToGrid w:val="0"/>
        <w:spacing w:line="520" w:lineRule="exact"/>
        <w:ind w:firstLine="482" w:firstLineChars="200"/>
        <w:rPr>
          <w:rFonts w:ascii="Times New Roman" w:hAnsi="Times New Roman" w:cs="宋体"/>
          <w:b/>
          <w:bCs/>
          <w:sz w:val="24"/>
        </w:rPr>
      </w:pPr>
      <w:r>
        <w:rPr>
          <w:rFonts w:hint="eastAsia" w:ascii="Times New Roman" w:hAnsi="Times New Roman" w:cs="宋体"/>
          <w:b/>
          <w:bCs/>
          <w:sz w:val="24"/>
        </w:rPr>
        <w:t>注:参加磋商时法定代理人（负责人）将身份证原件带至磋商现场备查。</w:t>
      </w:r>
    </w:p>
    <w:p w14:paraId="1C12513D">
      <w:pPr>
        <w:rPr>
          <w:rFonts w:ascii="Times New Roman" w:hAnsi="Times New Roman" w:cs="宋体"/>
          <w:b/>
          <w:sz w:val="24"/>
        </w:rPr>
      </w:pPr>
    </w:p>
    <w:p w14:paraId="4D827D37">
      <w:pPr>
        <w:rPr>
          <w:rFonts w:ascii="Times New Roman" w:hAnsi="Times New Roman"/>
          <w:b/>
          <w:sz w:val="28"/>
          <w:szCs w:val="28"/>
        </w:rPr>
      </w:pPr>
      <w:r>
        <w:rPr>
          <w:rFonts w:hint="eastAsia" w:ascii="Times New Roman" w:hAnsi="Times New Roman"/>
          <w:b/>
          <w:sz w:val="28"/>
          <w:szCs w:val="28"/>
        </w:rPr>
        <w:br w:type="page"/>
      </w:r>
    </w:p>
    <w:p w14:paraId="16D7E7A1">
      <w:pPr>
        <w:tabs>
          <w:tab w:val="left" w:pos="4050"/>
        </w:tabs>
        <w:spacing w:line="360" w:lineRule="auto"/>
        <w:ind w:firstLine="562" w:firstLineChars="200"/>
        <w:jc w:val="center"/>
        <w:rPr>
          <w:rFonts w:ascii="Times New Roman" w:hAnsi="Times New Roman" w:cs="宋体"/>
          <w:b/>
          <w:sz w:val="24"/>
        </w:rPr>
      </w:pPr>
      <w:r>
        <w:rPr>
          <w:rFonts w:hint="eastAsia" w:ascii="Times New Roman" w:hAnsi="Times New Roman"/>
          <w:b/>
          <w:sz w:val="28"/>
          <w:szCs w:val="28"/>
        </w:rPr>
        <w:t>2、授权委托书</w:t>
      </w:r>
    </w:p>
    <w:p w14:paraId="3E88CB85">
      <w:pPr>
        <w:snapToGrid w:val="0"/>
        <w:spacing w:line="520" w:lineRule="exact"/>
        <w:jc w:val="center"/>
        <w:rPr>
          <w:rFonts w:ascii="Times New Roman" w:hAnsi="Times New Roman" w:cs="宋体"/>
          <w:bCs/>
          <w:sz w:val="24"/>
        </w:rPr>
      </w:pPr>
      <w:r>
        <w:rPr>
          <w:rFonts w:hint="eastAsia" w:ascii="Times New Roman" w:hAnsi="Times New Roman" w:cs="宋体"/>
          <w:bCs/>
          <w:sz w:val="24"/>
        </w:rPr>
        <w:t>（如被授权人参加磋商，须出示此证明）</w:t>
      </w:r>
    </w:p>
    <w:p w14:paraId="26AB7523">
      <w:pPr>
        <w:snapToGrid w:val="0"/>
        <w:spacing w:line="520" w:lineRule="exact"/>
        <w:jc w:val="center"/>
        <w:rPr>
          <w:rFonts w:ascii="Times New Roman" w:hAnsi="Times New Roman" w:cs="宋体"/>
          <w:bCs/>
          <w:sz w:val="24"/>
        </w:rPr>
      </w:pPr>
    </w:p>
    <w:p w14:paraId="13EE8078">
      <w:pPr>
        <w:snapToGrid w:val="0"/>
        <w:spacing w:line="520" w:lineRule="exact"/>
        <w:jc w:val="left"/>
        <w:rPr>
          <w:rFonts w:ascii="Times New Roman" w:hAnsi="Times New Roman" w:cs="宋体"/>
          <w:sz w:val="24"/>
          <w:u w:val="single"/>
        </w:rPr>
      </w:pPr>
      <w:r>
        <w:rPr>
          <w:rFonts w:hint="eastAsia" w:ascii="宋体" w:hAnsi="宋体" w:cs="宋体"/>
          <w:snapToGrid w:val="0"/>
          <w:kern w:val="0"/>
          <w:sz w:val="24"/>
          <w:u w:val="single"/>
        </w:rPr>
        <w:t>南通市医疗保障局</w:t>
      </w:r>
      <w:r>
        <w:rPr>
          <w:rFonts w:hint="eastAsia" w:ascii="Times New Roman" w:hAnsi="Times New Roman" w:cs="宋体"/>
          <w:sz w:val="24"/>
          <w:u w:val="single"/>
        </w:rPr>
        <w:t>：</w:t>
      </w:r>
    </w:p>
    <w:p w14:paraId="4EF0E49A">
      <w:pPr>
        <w:snapToGrid w:val="0"/>
        <w:spacing w:line="480" w:lineRule="exact"/>
        <w:ind w:firstLine="480" w:firstLineChars="200"/>
        <w:rPr>
          <w:rFonts w:ascii="Times New Roman" w:hAnsi="Times New Roman" w:cs="宋体"/>
          <w:sz w:val="24"/>
        </w:rPr>
      </w:pPr>
      <w:r>
        <w:rPr>
          <w:rFonts w:hint="eastAsia" w:ascii="Times New Roman" w:hAnsi="Times New Roman" w:cs="宋体"/>
          <w:sz w:val="24"/>
        </w:rPr>
        <w:t>兹授权</w:t>
      </w:r>
      <w:r>
        <w:rPr>
          <w:rFonts w:hint="eastAsia" w:ascii="Times New Roman" w:hAnsi="Times New Roman" w:cs="宋体"/>
          <w:sz w:val="24"/>
          <w:u w:val="single"/>
        </w:rPr>
        <w:t xml:space="preserve">               （</w:t>
      </w:r>
      <w:r>
        <w:rPr>
          <w:rFonts w:hint="eastAsia" w:ascii="Times New Roman" w:hAnsi="Times New Roman" w:cs="宋体"/>
          <w:sz w:val="24"/>
        </w:rPr>
        <w:t>被授权人的姓名）代表我公司参加</w:t>
      </w:r>
      <w:r>
        <w:rPr>
          <w:rFonts w:hint="eastAsia" w:ascii="Times New Roman" w:hAnsi="Times New Roman" w:cs="宋体"/>
          <w:sz w:val="24"/>
          <w:u w:val="single"/>
        </w:rPr>
        <w:t xml:space="preserve">             </w:t>
      </w:r>
      <w:r>
        <w:rPr>
          <w:rFonts w:hint="eastAsia" w:ascii="Times New Roman" w:hAnsi="Times New Roman" w:cs="宋体"/>
          <w:sz w:val="24"/>
        </w:rPr>
        <w:t xml:space="preserve">（竞争性磋商项目名称）项目的政府采购活动，全权处理一切与该项目磋商有关的事务。其在办理上述事宜过程中所签署的所有文件我公司均予以承认。  </w:t>
      </w:r>
    </w:p>
    <w:p w14:paraId="28CC5F0E">
      <w:pPr>
        <w:adjustRightInd w:val="0"/>
        <w:snapToGrid w:val="0"/>
        <w:spacing w:line="500" w:lineRule="exact"/>
        <w:ind w:firstLine="480" w:firstLineChars="200"/>
        <w:jc w:val="left"/>
        <w:rPr>
          <w:rFonts w:ascii="Times New Roman" w:hAnsi="Times New Roman" w:cs="宋体"/>
          <w:kern w:val="0"/>
          <w:sz w:val="24"/>
        </w:rPr>
      </w:pPr>
    </w:p>
    <w:p w14:paraId="4EF71CB8">
      <w:pPr>
        <w:adjustRightInd w:val="0"/>
        <w:snapToGrid w:val="0"/>
        <w:spacing w:line="500" w:lineRule="exact"/>
        <w:ind w:firstLine="480" w:firstLineChars="200"/>
        <w:jc w:val="left"/>
        <w:rPr>
          <w:rFonts w:ascii="Times New Roman" w:hAnsi="Times New Roman" w:cs="宋体"/>
          <w:kern w:val="0"/>
          <w:sz w:val="24"/>
        </w:rPr>
      </w:pPr>
      <w:r>
        <w:rPr>
          <w:rFonts w:hint="eastAsia" w:ascii="Times New Roman" w:hAnsi="Times New Roman" w:cs="宋体"/>
          <w:kern w:val="0"/>
          <w:sz w:val="24"/>
        </w:rPr>
        <w:t>被授权人无转委托权，特此委托。</w:t>
      </w:r>
    </w:p>
    <w:p w14:paraId="0507FA06">
      <w:pPr>
        <w:adjustRightInd w:val="0"/>
        <w:snapToGrid w:val="0"/>
        <w:spacing w:line="500" w:lineRule="exact"/>
        <w:ind w:firstLine="480" w:firstLineChars="200"/>
        <w:jc w:val="left"/>
        <w:rPr>
          <w:rFonts w:ascii="Times New Roman" w:hAnsi="Times New Roman" w:cs="宋体"/>
          <w:kern w:val="0"/>
          <w:sz w:val="24"/>
        </w:rPr>
      </w:pPr>
    </w:p>
    <w:p w14:paraId="490EEB05">
      <w:pPr>
        <w:spacing w:line="480" w:lineRule="exact"/>
        <w:rPr>
          <w:rFonts w:ascii="Times New Roman" w:hAnsi="Times New Roman" w:cs="宋体"/>
          <w:sz w:val="24"/>
        </w:rPr>
      </w:pPr>
      <w:r>
        <w:rPr>
          <w:rFonts w:hint="eastAsia" w:ascii="Times New Roman" w:hAnsi="Times New Roman" w:cs="宋体"/>
          <w:sz w:val="24"/>
        </w:rPr>
        <w:t>附：被授权人情况：</w:t>
      </w:r>
    </w:p>
    <w:p w14:paraId="6A0FBAE8">
      <w:pPr>
        <w:spacing w:line="480" w:lineRule="exact"/>
        <w:rPr>
          <w:rFonts w:ascii="Times New Roman" w:hAnsi="Times New Roman" w:cs="宋体"/>
          <w:sz w:val="24"/>
          <w:u w:val="single"/>
        </w:rPr>
      </w:pPr>
      <w:r>
        <w:rPr>
          <w:rFonts w:hint="eastAsia" w:ascii="Times New Roman" w:hAnsi="Times New Roman" w:cs="宋体"/>
          <w:sz w:val="24"/>
        </w:rPr>
        <w:t>姓名： 性别：年龄：职务：</w:t>
      </w:r>
    </w:p>
    <w:p w14:paraId="681E63F5">
      <w:pPr>
        <w:spacing w:line="480" w:lineRule="exact"/>
        <w:rPr>
          <w:rFonts w:ascii="Times New Roman" w:hAnsi="Times New Roman" w:cs="宋体"/>
          <w:sz w:val="24"/>
        </w:rPr>
      </w:pPr>
      <w:r>
        <w:rPr>
          <w:rFonts w:hint="eastAsia" w:ascii="Times New Roman" w:hAnsi="Times New Roman" w:cs="宋体"/>
          <w:sz w:val="24"/>
        </w:rPr>
        <w:t>身份证号码：</w:t>
      </w:r>
    </w:p>
    <w:p w14:paraId="1E128FA2">
      <w:pPr>
        <w:spacing w:line="480" w:lineRule="exact"/>
        <w:rPr>
          <w:rFonts w:ascii="Times New Roman" w:hAnsi="Times New Roman" w:cs="宋体"/>
          <w:sz w:val="24"/>
        </w:rPr>
      </w:pPr>
      <w:r>
        <w:rPr>
          <w:rFonts w:hint="eastAsia" w:ascii="Times New Roman" w:hAnsi="Times New Roman" w:cs="宋体"/>
          <w:sz w:val="24"/>
        </w:rPr>
        <w:t>手机：传真：</w:t>
      </w:r>
    </w:p>
    <w:p w14:paraId="39E0FE95">
      <w:pPr>
        <w:spacing w:line="480" w:lineRule="exact"/>
        <w:rPr>
          <w:rFonts w:ascii="Times New Roman" w:hAnsi="Times New Roman" w:cs="宋体"/>
          <w:sz w:val="24"/>
        </w:rPr>
      </w:pPr>
      <w:r>
        <w:rPr>
          <w:rFonts w:hint="eastAsia" w:ascii="Times New Roman" w:hAnsi="Times New Roman" w:cs="宋体"/>
          <w:sz w:val="24"/>
        </w:rPr>
        <w:t>单位名称（公章）             法定代表人（签字或盖章）</w:t>
      </w:r>
    </w:p>
    <w:p w14:paraId="67FEC53D">
      <w:pPr>
        <w:spacing w:line="480" w:lineRule="exact"/>
        <w:ind w:firstLine="1200" w:firstLineChars="500"/>
        <w:rPr>
          <w:rFonts w:ascii="Times New Roman" w:hAnsi="Times New Roman" w:cs="宋体"/>
          <w:sz w:val="24"/>
        </w:rPr>
      </w:pPr>
      <w:r>
        <w:rPr>
          <w:rFonts w:hint="eastAsia" w:ascii="Times New Roman" w:hAnsi="Times New Roman" w:cs="宋体"/>
          <w:sz w:val="24"/>
        </w:rPr>
        <w:t xml:space="preserve">年   月   日                 年   月    日  </w:t>
      </w:r>
    </w:p>
    <w:p w14:paraId="370AC284">
      <w:pPr>
        <w:spacing w:line="480" w:lineRule="exact"/>
        <w:rPr>
          <w:rFonts w:ascii="Times New Roman" w:hAnsi="Times New Roman" w:cs="宋体"/>
          <w:sz w:val="24"/>
        </w:rPr>
      </w:pPr>
    </w:p>
    <w:p w14:paraId="1F3FE7EF">
      <w:pPr>
        <w:spacing w:line="480" w:lineRule="exact"/>
        <w:rPr>
          <w:rFonts w:ascii="Times New Roman" w:hAnsi="Times New Roman" w:cs="宋体"/>
          <w:sz w:val="24"/>
        </w:rPr>
      </w:pPr>
      <w:r>
        <w:rPr>
          <w:rFonts w:hint="eastAsia" w:ascii="Times New Roman" w:hAnsi="Times New Roman" w:cs="宋体"/>
          <w:sz w:val="24"/>
        </w:rPr>
        <w:t>法定代表人身份证复印件</w:t>
      </w:r>
    </w:p>
    <w:p w14:paraId="1149CAB8">
      <w:pPr>
        <w:spacing w:line="480" w:lineRule="exact"/>
        <w:rPr>
          <w:rFonts w:ascii="Times New Roman" w:hAnsi="Times New Roman" w:cs="宋体"/>
          <w:sz w:val="24"/>
        </w:rPr>
      </w:pPr>
    </w:p>
    <w:p w14:paraId="1920D2CC">
      <w:pPr>
        <w:spacing w:line="480" w:lineRule="exact"/>
        <w:ind w:firstLine="2280" w:firstLineChars="950"/>
        <w:rPr>
          <w:rFonts w:ascii="Times New Roman" w:hAnsi="Times New Roman" w:cs="宋体"/>
          <w:sz w:val="24"/>
        </w:rPr>
      </w:pPr>
      <w:r>
        <w:rPr>
          <w:rFonts w:hint="eastAsia" w:ascii="Times New Roman" w:hAnsi="Times New Roman" w:cs="宋体"/>
          <w:sz w:val="24"/>
        </w:rPr>
        <w:t>（粘贴此处）</w:t>
      </w:r>
    </w:p>
    <w:p w14:paraId="71791A66">
      <w:pPr>
        <w:spacing w:line="480" w:lineRule="exact"/>
        <w:rPr>
          <w:rFonts w:ascii="Times New Roman" w:hAnsi="Times New Roman" w:cs="宋体"/>
          <w:sz w:val="24"/>
        </w:rPr>
      </w:pPr>
    </w:p>
    <w:p w14:paraId="15909EAF">
      <w:pPr>
        <w:spacing w:line="480" w:lineRule="exact"/>
        <w:rPr>
          <w:rFonts w:ascii="Times New Roman" w:hAnsi="Times New Roman" w:cs="宋体"/>
          <w:sz w:val="24"/>
        </w:rPr>
      </w:pPr>
    </w:p>
    <w:p w14:paraId="6D5F7B9D">
      <w:pPr>
        <w:spacing w:line="480" w:lineRule="exact"/>
        <w:rPr>
          <w:rFonts w:ascii="Times New Roman" w:hAnsi="Times New Roman" w:cs="宋体"/>
          <w:sz w:val="24"/>
        </w:rPr>
      </w:pPr>
      <w:r>
        <w:rPr>
          <w:rFonts w:hint="eastAsia" w:ascii="Times New Roman" w:hAnsi="Times New Roman" w:cs="宋体"/>
          <w:sz w:val="24"/>
        </w:rPr>
        <w:t>被授权人身份证复印件</w:t>
      </w:r>
    </w:p>
    <w:p w14:paraId="71FF487E">
      <w:pPr>
        <w:spacing w:line="480" w:lineRule="exact"/>
        <w:rPr>
          <w:rFonts w:ascii="Times New Roman" w:hAnsi="Times New Roman" w:cs="宋体"/>
          <w:sz w:val="24"/>
        </w:rPr>
      </w:pPr>
    </w:p>
    <w:p w14:paraId="675CCE26">
      <w:pPr>
        <w:spacing w:line="480" w:lineRule="exact"/>
        <w:ind w:firstLine="2280" w:firstLineChars="950"/>
        <w:rPr>
          <w:rFonts w:ascii="Times New Roman" w:hAnsi="Times New Roman" w:cs="宋体"/>
          <w:b/>
          <w:bCs/>
          <w:sz w:val="24"/>
        </w:rPr>
      </w:pPr>
      <w:r>
        <w:rPr>
          <w:rFonts w:hint="eastAsia" w:ascii="Times New Roman" w:hAnsi="Times New Roman" w:cs="宋体"/>
          <w:sz w:val="24"/>
        </w:rPr>
        <w:t>（粘贴此处）</w:t>
      </w:r>
    </w:p>
    <w:p w14:paraId="04D48B96">
      <w:pPr>
        <w:spacing w:line="480" w:lineRule="exact"/>
        <w:ind w:firstLine="482" w:firstLineChars="200"/>
        <w:rPr>
          <w:rFonts w:ascii="Times New Roman" w:hAnsi="Times New Roman" w:cs="宋体"/>
          <w:b/>
          <w:bCs/>
          <w:sz w:val="24"/>
        </w:rPr>
      </w:pPr>
      <w:r>
        <w:rPr>
          <w:rFonts w:hint="eastAsia" w:ascii="Times New Roman" w:hAnsi="Times New Roman" w:cs="宋体"/>
          <w:b/>
          <w:bCs/>
          <w:sz w:val="24"/>
        </w:rPr>
        <w:t>注:参加磋商时被授权人将身份证原件带至现场备查。</w:t>
      </w:r>
    </w:p>
    <w:p w14:paraId="454872E9">
      <w:pPr>
        <w:spacing w:line="360" w:lineRule="auto"/>
        <w:jc w:val="center"/>
        <w:textAlignment w:val="baseline"/>
        <w:rPr>
          <w:rFonts w:ascii="宋体" w:hAnsi="宋体" w:cs="宋体"/>
          <w:b/>
          <w:snapToGrid w:val="0"/>
          <w:kern w:val="0"/>
          <w:sz w:val="24"/>
        </w:rPr>
      </w:pPr>
      <w:r>
        <w:rPr>
          <w:rFonts w:hint="eastAsia" w:ascii="Times New Roman" w:hAnsi="Times New Roman" w:cs="宋体"/>
          <w:b/>
          <w:sz w:val="24"/>
        </w:rPr>
        <w:br w:type="page"/>
      </w:r>
      <w:r>
        <w:rPr>
          <w:rFonts w:hint="eastAsia" w:ascii="宋体" w:hAnsi="宋体" w:cs="宋体"/>
          <w:b/>
          <w:snapToGrid w:val="0"/>
          <w:kern w:val="0"/>
          <w:sz w:val="24"/>
        </w:rPr>
        <w:t>3、供应商符合《中华人民共和国政府采购法》第二十二条规定条件的声明函</w:t>
      </w:r>
    </w:p>
    <w:p w14:paraId="4F28EA8F">
      <w:pPr>
        <w:snapToGrid w:val="0"/>
        <w:spacing w:line="360" w:lineRule="auto"/>
        <w:rPr>
          <w:rFonts w:ascii="宋体" w:hAnsi="宋体" w:cs="宋体"/>
          <w:snapToGrid w:val="0"/>
          <w:kern w:val="0"/>
          <w:sz w:val="24"/>
          <w:szCs w:val="21"/>
          <w:u w:val="single"/>
        </w:rPr>
      </w:pPr>
    </w:p>
    <w:p w14:paraId="256A9B91">
      <w:pPr>
        <w:snapToGrid w:val="0"/>
        <w:spacing w:line="360" w:lineRule="auto"/>
        <w:rPr>
          <w:rFonts w:ascii="宋体" w:hAnsi="宋体" w:cs="宋体"/>
          <w:bCs/>
          <w:snapToGrid w:val="0"/>
          <w:kern w:val="0"/>
          <w:sz w:val="24"/>
          <w:szCs w:val="21"/>
        </w:rPr>
      </w:pPr>
      <w:r>
        <w:rPr>
          <w:rFonts w:hint="eastAsia" w:ascii="宋体" w:hAnsi="宋体" w:cs="宋体"/>
          <w:snapToGrid w:val="0"/>
          <w:kern w:val="0"/>
          <w:sz w:val="24"/>
          <w:u w:val="single"/>
        </w:rPr>
        <w:t>南通市医疗保障局</w:t>
      </w:r>
      <w:r>
        <w:rPr>
          <w:rFonts w:hint="eastAsia" w:ascii="宋体" w:hAnsi="宋体" w:cs="宋体"/>
          <w:bCs/>
          <w:snapToGrid w:val="0"/>
          <w:kern w:val="0"/>
          <w:sz w:val="24"/>
          <w:szCs w:val="21"/>
        </w:rPr>
        <w:t>：</w:t>
      </w:r>
    </w:p>
    <w:p w14:paraId="28E3CB72">
      <w:pPr>
        <w:spacing w:line="360" w:lineRule="auto"/>
        <w:ind w:firstLine="480" w:firstLineChars="200"/>
        <w:rPr>
          <w:rFonts w:ascii="宋体" w:hAnsi="宋体" w:cs="宋体"/>
          <w:b/>
          <w:bCs/>
          <w:snapToGrid w:val="0"/>
          <w:kern w:val="0"/>
          <w:sz w:val="24"/>
          <w:szCs w:val="21"/>
        </w:rPr>
      </w:pPr>
      <w:r>
        <w:rPr>
          <w:rFonts w:hint="eastAsia" w:ascii="宋体" w:hAnsi="宋体" w:cs="宋体"/>
          <w:bCs/>
          <w:snapToGrid w:val="0"/>
          <w:kern w:val="0"/>
          <w:sz w:val="24"/>
          <w:szCs w:val="21"/>
        </w:rPr>
        <w:t>我单位参加</w:t>
      </w:r>
      <w:r>
        <w:rPr>
          <w:rFonts w:hint="eastAsia" w:ascii="宋体" w:hAnsi="宋体" w:cs="宋体"/>
          <w:bCs/>
          <w:snapToGrid w:val="0"/>
          <w:kern w:val="0"/>
          <w:sz w:val="24"/>
          <w:szCs w:val="21"/>
          <w:u w:val="single"/>
        </w:rPr>
        <w:t>________________ _</w:t>
      </w:r>
      <w:r>
        <w:rPr>
          <w:rFonts w:hint="eastAsia" w:ascii="宋体" w:hAnsi="宋体" w:cs="宋体"/>
          <w:bCs/>
          <w:snapToGrid w:val="0"/>
          <w:kern w:val="0"/>
          <w:sz w:val="24"/>
          <w:szCs w:val="21"/>
        </w:rPr>
        <w:t>（项目名称），</w:t>
      </w:r>
      <w:r>
        <w:rPr>
          <w:rFonts w:hint="eastAsia" w:ascii="宋体" w:hAnsi="宋体" w:cs="宋体"/>
          <w:bCs/>
          <w:snapToGrid w:val="0"/>
          <w:kern w:val="0"/>
          <w:sz w:val="24"/>
          <w:szCs w:val="21"/>
          <w:u w:val="single"/>
        </w:rPr>
        <w:t>_______ __________</w:t>
      </w:r>
      <w:r>
        <w:rPr>
          <w:rFonts w:hint="eastAsia" w:ascii="宋体" w:hAnsi="宋体" w:cs="宋体"/>
          <w:bCs/>
          <w:snapToGrid w:val="0"/>
          <w:kern w:val="0"/>
          <w:sz w:val="24"/>
          <w:szCs w:val="21"/>
        </w:rPr>
        <w:t>（项目编号）竞争性磋商活动。针对《中华人民共和国政府采购法》第二十二条规定做出如下声明：</w:t>
      </w:r>
    </w:p>
    <w:p w14:paraId="161752E3">
      <w:pPr>
        <w:spacing w:line="360" w:lineRule="auto"/>
        <w:ind w:firstLine="480" w:firstLineChars="200"/>
        <w:rPr>
          <w:rFonts w:ascii="宋体" w:hAnsi="宋体" w:cs="宋体"/>
          <w:snapToGrid w:val="0"/>
          <w:kern w:val="0"/>
          <w:sz w:val="24"/>
          <w:szCs w:val="21"/>
        </w:rPr>
      </w:pPr>
      <w:r>
        <w:rPr>
          <w:rFonts w:hint="eastAsia" w:ascii="宋体" w:hAnsi="宋体" w:cs="宋体"/>
          <w:bCs/>
          <w:snapToGrid w:val="0"/>
          <w:kern w:val="0"/>
          <w:sz w:val="24"/>
          <w:szCs w:val="21"/>
        </w:rPr>
        <w:t>1.我单位具有独立承担民事责任的能力；</w:t>
      </w:r>
    </w:p>
    <w:p w14:paraId="5F8DC865">
      <w:pPr>
        <w:spacing w:line="360" w:lineRule="auto"/>
        <w:ind w:firstLine="480" w:firstLineChars="200"/>
        <w:rPr>
          <w:rFonts w:ascii="宋体" w:hAnsi="宋体" w:cs="宋体"/>
          <w:snapToGrid w:val="0"/>
          <w:kern w:val="0"/>
          <w:sz w:val="24"/>
          <w:szCs w:val="21"/>
        </w:rPr>
      </w:pPr>
      <w:r>
        <w:rPr>
          <w:rFonts w:hint="eastAsia" w:ascii="宋体" w:hAnsi="宋体" w:cs="宋体"/>
          <w:snapToGrid w:val="0"/>
          <w:kern w:val="0"/>
          <w:sz w:val="24"/>
          <w:szCs w:val="21"/>
        </w:rPr>
        <w:t>2.我单位具有良好的商业信誉和健全的财务会计制度；</w:t>
      </w:r>
    </w:p>
    <w:p w14:paraId="1EDB713F">
      <w:pPr>
        <w:spacing w:line="360" w:lineRule="auto"/>
        <w:ind w:firstLine="480" w:firstLineChars="200"/>
        <w:rPr>
          <w:rFonts w:ascii="宋体" w:hAnsi="宋体" w:cs="宋体"/>
          <w:snapToGrid w:val="0"/>
          <w:kern w:val="0"/>
          <w:sz w:val="24"/>
          <w:szCs w:val="21"/>
        </w:rPr>
      </w:pPr>
      <w:r>
        <w:rPr>
          <w:rFonts w:hint="eastAsia" w:ascii="宋体" w:hAnsi="宋体" w:cs="宋体"/>
          <w:snapToGrid w:val="0"/>
          <w:kern w:val="0"/>
          <w:sz w:val="24"/>
          <w:szCs w:val="21"/>
        </w:rPr>
        <w:t>3.我单位具有履行合同所必需的设备和专业技术能力；</w:t>
      </w:r>
    </w:p>
    <w:p w14:paraId="381A89E6">
      <w:pPr>
        <w:spacing w:line="360" w:lineRule="auto"/>
        <w:ind w:firstLine="480" w:firstLineChars="200"/>
        <w:rPr>
          <w:rFonts w:ascii="宋体" w:hAnsi="宋体" w:cs="宋体"/>
          <w:snapToGrid w:val="0"/>
          <w:kern w:val="0"/>
          <w:sz w:val="24"/>
          <w:szCs w:val="21"/>
        </w:rPr>
      </w:pPr>
      <w:r>
        <w:rPr>
          <w:rFonts w:hint="eastAsia" w:ascii="宋体" w:hAnsi="宋体" w:cs="宋体"/>
          <w:snapToGrid w:val="0"/>
          <w:kern w:val="0"/>
          <w:sz w:val="24"/>
          <w:szCs w:val="21"/>
        </w:rPr>
        <w:t>4.我单位有依法缴纳税收和社会保障资金的良好记录；</w:t>
      </w:r>
    </w:p>
    <w:p w14:paraId="0705ADAD">
      <w:pPr>
        <w:spacing w:line="360" w:lineRule="auto"/>
        <w:ind w:firstLine="480" w:firstLineChars="200"/>
        <w:rPr>
          <w:rFonts w:ascii="宋体" w:hAnsi="宋体" w:cs="宋体"/>
          <w:snapToGrid w:val="0"/>
          <w:kern w:val="0"/>
          <w:sz w:val="24"/>
          <w:szCs w:val="21"/>
        </w:rPr>
      </w:pPr>
      <w:r>
        <w:rPr>
          <w:rFonts w:hint="eastAsia" w:ascii="宋体" w:hAnsi="宋体" w:cs="宋体"/>
          <w:snapToGrid w:val="0"/>
          <w:kern w:val="0"/>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2062BF6">
      <w:pPr>
        <w:spacing w:line="360" w:lineRule="auto"/>
        <w:ind w:firstLine="480" w:firstLineChars="200"/>
        <w:rPr>
          <w:rFonts w:ascii="宋体" w:hAnsi="宋体" w:cs="宋体"/>
          <w:bCs/>
          <w:snapToGrid w:val="0"/>
          <w:kern w:val="0"/>
          <w:sz w:val="24"/>
          <w:szCs w:val="21"/>
        </w:rPr>
      </w:pPr>
      <w:r>
        <w:rPr>
          <w:rFonts w:hint="eastAsia" w:ascii="宋体" w:hAnsi="宋体" w:cs="宋体"/>
          <w:snapToGrid w:val="0"/>
          <w:kern w:val="0"/>
          <w:sz w:val="24"/>
          <w:szCs w:val="21"/>
        </w:rPr>
        <w:t>6.我单位满足法律、行政法规规定的其他条件。</w:t>
      </w:r>
    </w:p>
    <w:p w14:paraId="2862C20B">
      <w:pPr>
        <w:spacing w:line="360" w:lineRule="auto"/>
        <w:rPr>
          <w:rFonts w:ascii="宋体" w:hAnsi="宋体" w:cs="宋体"/>
          <w:snapToGrid w:val="0"/>
          <w:kern w:val="0"/>
          <w:sz w:val="28"/>
          <w:szCs w:val="20"/>
        </w:rPr>
      </w:pPr>
    </w:p>
    <w:p w14:paraId="42ADAF67">
      <w:pPr>
        <w:spacing w:line="360" w:lineRule="auto"/>
        <w:ind w:firstLine="480" w:firstLineChars="200"/>
        <w:jc w:val="right"/>
        <w:rPr>
          <w:rFonts w:ascii="宋体" w:hAnsi="宋体" w:cs="宋体"/>
          <w:snapToGrid w:val="0"/>
          <w:kern w:val="0"/>
          <w:sz w:val="24"/>
        </w:rPr>
      </w:pPr>
    </w:p>
    <w:p w14:paraId="1E714826">
      <w:pPr>
        <w:spacing w:line="360" w:lineRule="auto"/>
        <w:ind w:firstLine="480" w:firstLineChars="200"/>
        <w:jc w:val="right"/>
        <w:rPr>
          <w:rFonts w:ascii="宋体" w:hAnsi="宋体" w:cs="宋体"/>
          <w:snapToGrid w:val="0"/>
          <w:kern w:val="0"/>
          <w:sz w:val="24"/>
        </w:rPr>
      </w:pPr>
      <w:r>
        <w:rPr>
          <w:rFonts w:hint="eastAsia" w:ascii="宋体" w:hAnsi="宋体" w:cs="宋体"/>
          <w:snapToGrid w:val="0"/>
          <w:kern w:val="0"/>
          <w:sz w:val="24"/>
        </w:rPr>
        <w:t>投标供应商：（加盖公章）</w:t>
      </w:r>
    </w:p>
    <w:p w14:paraId="16F7DD0A">
      <w:pPr>
        <w:spacing w:line="360" w:lineRule="auto"/>
        <w:ind w:firstLine="480" w:firstLineChars="200"/>
        <w:jc w:val="right"/>
        <w:rPr>
          <w:rFonts w:ascii="宋体" w:hAnsi="宋体" w:cs="宋体"/>
          <w:snapToGrid w:val="0"/>
          <w:kern w:val="0"/>
          <w:sz w:val="24"/>
        </w:rPr>
      </w:pPr>
      <w:r>
        <w:rPr>
          <w:rFonts w:hint="eastAsia" w:ascii="宋体" w:hAnsi="宋体" w:cs="宋体"/>
          <w:snapToGrid w:val="0"/>
          <w:kern w:val="0"/>
          <w:sz w:val="24"/>
        </w:rPr>
        <w:t>法定代表人或被授权人：（签字或盖章）</w:t>
      </w:r>
    </w:p>
    <w:p w14:paraId="3A1376A6">
      <w:pPr>
        <w:spacing w:line="360" w:lineRule="auto"/>
        <w:ind w:firstLine="1320" w:firstLineChars="550"/>
        <w:jc w:val="right"/>
        <w:rPr>
          <w:rFonts w:ascii="宋体" w:hAnsi="宋体" w:cs="宋体"/>
          <w:snapToGrid w:val="0"/>
          <w:kern w:val="0"/>
          <w:sz w:val="24"/>
        </w:rPr>
      </w:pPr>
      <w:r>
        <w:rPr>
          <w:rFonts w:hint="eastAsia" w:ascii="宋体" w:hAnsi="宋体" w:cs="宋体"/>
          <w:snapToGrid w:val="0"/>
          <w:kern w:val="0"/>
          <w:sz w:val="24"/>
        </w:rPr>
        <w:t>年      月     日</w:t>
      </w:r>
    </w:p>
    <w:p w14:paraId="63F88E10">
      <w:pPr>
        <w:spacing w:line="360" w:lineRule="auto"/>
        <w:ind w:firstLine="2289" w:firstLineChars="950"/>
        <w:jc w:val="right"/>
        <w:rPr>
          <w:rFonts w:ascii="Times New Roman" w:hAnsi="Times New Roman" w:cs="宋体"/>
          <w:b/>
          <w:sz w:val="24"/>
        </w:rPr>
      </w:pPr>
    </w:p>
    <w:p w14:paraId="11D8BD45">
      <w:pPr>
        <w:spacing w:line="360" w:lineRule="auto"/>
        <w:jc w:val="center"/>
        <w:rPr>
          <w:rFonts w:ascii="宋体" w:hAnsi="宋体" w:cs="宋体"/>
          <w:b/>
          <w:snapToGrid w:val="0"/>
          <w:kern w:val="0"/>
          <w:sz w:val="24"/>
        </w:rPr>
      </w:pPr>
      <w:r>
        <w:rPr>
          <w:rFonts w:hint="eastAsia" w:ascii="Times New Roman" w:hAnsi="Times New Roman" w:cs="宋体"/>
          <w:b/>
          <w:bCs/>
          <w:sz w:val="24"/>
        </w:rPr>
        <w:br w:type="page"/>
      </w:r>
      <w:r>
        <w:rPr>
          <w:rFonts w:hint="eastAsia" w:ascii="宋体" w:hAnsi="宋体" w:cs="宋体"/>
          <w:b/>
          <w:snapToGrid w:val="0"/>
          <w:kern w:val="0"/>
          <w:sz w:val="24"/>
        </w:rPr>
        <w:t>4、诚信承诺书</w:t>
      </w:r>
    </w:p>
    <w:p w14:paraId="3D40C9CF">
      <w:pPr>
        <w:spacing w:line="360" w:lineRule="auto"/>
        <w:rPr>
          <w:rFonts w:ascii="宋体" w:hAnsi="宋体" w:cs="宋体"/>
          <w:snapToGrid w:val="0"/>
          <w:kern w:val="0"/>
          <w:sz w:val="28"/>
          <w:szCs w:val="28"/>
          <w:u w:val="single"/>
        </w:rPr>
      </w:pPr>
      <w:r>
        <w:rPr>
          <w:rFonts w:hint="eastAsia" w:ascii="宋体" w:hAnsi="宋体" w:cs="宋体"/>
          <w:snapToGrid w:val="0"/>
          <w:kern w:val="0"/>
          <w:sz w:val="24"/>
          <w:u w:val="single"/>
        </w:rPr>
        <w:softHyphen/>
      </w:r>
      <w:r>
        <w:rPr>
          <w:rFonts w:hint="eastAsia" w:ascii="宋体" w:hAnsi="宋体" w:cs="宋体"/>
          <w:snapToGrid w:val="0"/>
          <w:kern w:val="0"/>
          <w:sz w:val="24"/>
          <w:u w:val="single"/>
        </w:rPr>
        <w:t>______：</w:t>
      </w:r>
    </w:p>
    <w:p w14:paraId="4BC0615E">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我单位在参加贵单位组织的</w:t>
      </w:r>
      <w:r>
        <w:rPr>
          <w:rFonts w:hint="eastAsia" w:ascii="宋体" w:hAnsi="宋体" w:cs="宋体"/>
          <w:snapToGrid w:val="0"/>
          <w:kern w:val="0"/>
          <w:sz w:val="24"/>
          <w:u w:val="single"/>
        </w:rPr>
        <w:t xml:space="preserve">     项目</w:t>
      </w:r>
      <w:r>
        <w:rPr>
          <w:rFonts w:hint="eastAsia" w:ascii="宋体" w:hAnsi="宋体" w:cs="宋体"/>
          <w:snapToGrid w:val="0"/>
          <w:kern w:val="0"/>
          <w:sz w:val="24"/>
        </w:rPr>
        <w:t>的竞争性磋商活动中，郑重承诺如下：</w:t>
      </w:r>
    </w:p>
    <w:p w14:paraId="0BB681FB">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1、我方申报的所有资料都是真实、准确、完整的；</w:t>
      </w:r>
    </w:p>
    <w:p w14:paraId="1DBAECCD">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2、我方无资质挂靠或参与串标、围标、及抬标情形；</w:t>
      </w:r>
    </w:p>
    <w:p w14:paraId="56CEB98B">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3、我方没有被各级行政主管部门做出停止市场行为的处罚；</w:t>
      </w:r>
    </w:p>
    <w:p w14:paraId="5819C601">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4、若我方中标，将严格按照规定及时与招标单位签订合同；</w:t>
      </w:r>
    </w:p>
    <w:p w14:paraId="186A7888">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5、若我方中标，将严格按照投标文件所承诺的报价、质量、供货期等内容组织实施；</w:t>
      </w:r>
    </w:p>
    <w:p w14:paraId="5431F522">
      <w:pPr>
        <w:pStyle w:val="70"/>
        <w:rPr>
          <w:rFonts w:eastAsia="宋体"/>
        </w:rPr>
      </w:pPr>
      <w:r>
        <w:rPr>
          <w:rFonts w:hint="eastAsia" w:ascii="宋体" w:hAnsi="宋体" w:eastAsia="宋体" w:cs="宋体"/>
          <w:snapToGrid w:val="0"/>
          <w:sz w:val="24"/>
          <w:szCs w:val="24"/>
        </w:rPr>
        <w:t>6、我方未被“信用中国”网站列入失信被执行人、重大税收违法案件当事人名单、政府采购严重失信行为记录名单；</w:t>
      </w:r>
    </w:p>
    <w:p w14:paraId="449E14A8">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339465CE">
      <w:pPr>
        <w:spacing w:line="360" w:lineRule="auto"/>
        <w:ind w:firstLine="560" w:firstLineChars="200"/>
        <w:rPr>
          <w:rFonts w:ascii="宋体" w:hAnsi="宋体" w:cs="宋体"/>
          <w:bCs/>
          <w:snapToGrid w:val="0"/>
          <w:kern w:val="0"/>
          <w:sz w:val="28"/>
          <w:szCs w:val="28"/>
        </w:rPr>
      </w:pPr>
    </w:p>
    <w:p w14:paraId="3F481F6C">
      <w:pPr>
        <w:spacing w:line="360" w:lineRule="auto"/>
        <w:ind w:firstLine="480" w:firstLineChars="200"/>
        <w:jc w:val="right"/>
        <w:rPr>
          <w:rFonts w:ascii="宋体" w:hAnsi="宋体" w:cs="宋体"/>
          <w:snapToGrid w:val="0"/>
          <w:kern w:val="0"/>
          <w:sz w:val="24"/>
        </w:rPr>
      </w:pPr>
      <w:r>
        <w:rPr>
          <w:rFonts w:hint="eastAsia" w:ascii="宋体" w:hAnsi="宋体" w:cs="宋体"/>
          <w:snapToGrid w:val="0"/>
          <w:kern w:val="0"/>
          <w:sz w:val="24"/>
        </w:rPr>
        <w:t>投标供应商：（加盖公章）</w:t>
      </w:r>
    </w:p>
    <w:p w14:paraId="30720518">
      <w:pPr>
        <w:spacing w:line="360" w:lineRule="auto"/>
        <w:ind w:firstLine="480" w:firstLineChars="200"/>
        <w:jc w:val="right"/>
        <w:rPr>
          <w:rFonts w:ascii="宋体" w:hAnsi="宋体" w:cs="宋体"/>
          <w:snapToGrid w:val="0"/>
          <w:kern w:val="0"/>
          <w:sz w:val="24"/>
        </w:rPr>
      </w:pPr>
      <w:r>
        <w:rPr>
          <w:rFonts w:hint="eastAsia" w:ascii="宋体" w:hAnsi="宋体" w:cs="宋体"/>
          <w:snapToGrid w:val="0"/>
          <w:kern w:val="0"/>
          <w:sz w:val="24"/>
        </w:rPr>
        <w:t>法定代表人或被授权人：（签字或盖章）</w:t>
      </w:r>
    </w:p>
    <w:p w14:paraId="7AA6D989">
      <w:pPr>
        <w:spacing w:line="360" w:lineRule="auto"/>
        <w:ind w:firstLine="1320" w:firstLineChars="550"/>
        <w:jc w:val="right"/>
        <w:rPr>
          <w:rFonts w:ascii="宋体" w:hAnsi="宋体" w:cs="宋体"/>
          <w:snapToGrid w:val="0"/>
          <w:kern w:val="0"/>
          <w:sz w:val="24"/>
        </w:rPr>
      </w:pPr>
      <w:r>
        <w:rPr>
          <w:rFonts w:hint="eastAsia" w:ascii="宋体" w:hAnsi="宋体" w:cs="宋体"/>
          <w:snapToGrid w:val="0"/>
          <w:kern w:val="0"/>
          <w:sz w:val="24"/>
        </w:rPr>
        <w:t>年      月     日</w:t>
      </w:r>
    </w:p>
    <w:p w14:paraId="75C83616">
      <w:pPr>
        <w:snapToGrid w:val="0"/>
        <w:spacing w:line="520" w:lineRule="exact"/>
        <w:jc w:val="right"/>
        <w:rPr>
          <w:rFonts w:ascii="Times New Roman" w:hAnsi="Times New Roman" w:cs="宋体"/>
          <w:sz w:val="24"/>
        </w:rPr>
      </w:pPr>
    </w:p>
    <w:p w14:paraId="7D9D3F79">
      <w:pPr>
        <w:widowControl/>
        <w:jc w:val="left"/>
        <w:rPr>
          <w:rFonts w:ascii="Times New Roman" w:hAnsi="Times New Roman" w:cs="宋体"/>
          <w:b/>
          <w:bCs/>
          <w:sz w:val="24"/>
        </w:rPr>
      </w:pPr>
      <w:r>
        <w:rPr>
          <w:rFonts w:ascii="Times New Roman" w:hAnsi="Times New Roman" w:cs="宋体"/>
          <w:b/>
          <w:bCs/>
          <w:sz w:val="24"/>
        </w:rPr>
        <w:br w:type="page"/>
      </w:r>
    </w:p>
    <w:p w14:paraId="72E18818">
      <w:pPr>
        <w:snapToGrid w:val="0"/>
        <w:spacing w:line="520" w:lineRule="exact"/>
        <w:jc w:val="center"/>
        <w:outlineLvl w:val="3"/>
        <w:rPr>
          <w:rFonts w:ascii="Times New Roman" w:hAnsi="Times New Roman" w:cs="宋体"/>
          <w:b/>
          <w:bCs/>
          <w:sz w:val="24"/>
        </w:rPr>
      </w:pPr>
      <w:r>
        <w:rPr>
          <w:rFonts w:hint="eastAsia" w:ascii="Times New Roman" w:hAnsi="Times New Roman"/>
          <w:b/>
          <w:sz w:val="28"/>
          <w:szCs w:val="28"/>
        </w:rPr>
        <w:t>5、竞争性磋商响应函</w:t>
      </w:r>
      <w:r>
        <w:rPr>
          <w:rFonts w:hint="eastAsia" w:ascii="Times New Roman" w:hAnsi="Times New Roman"/>
          <w:sz w:val="28"/>
          <w:szCs w:val="28"/>
        </w:rPr>
        <w:t>（格式不得变动）</w:t>
      </w:r>
    </w:p>
    <w:p w14:paraId="226C7036">
      <w:pPr>
        <w:spacing w:line="360" w:lineRule="auto"/>
        <w:textAlignment w:val="baseline"/>
        <w:rPr>
          <w:rFonts w:ascii="宋体" w:hAnsi="宋体" w:cs="宋体"/>
          <w:snapToGrid w:val="0"/>
          <w:kern w:val="0"/>
          <w:sz w:val="24"/>
        </w:rPr>
      </w:pPr>
      <w:r>
        <w:rPr>
          <w:rFonts w:hint="eastAsia" w:ascii="宋体" w:hAnsi="宋体" w:cs="宋体"/>
          <w:snapToGrid w:val="0"/>
          <w:kern w:val="0"/>
          <w:sz w:val="24"/>
          <w:u w:val="single"/>
        </w:rPr>
        <w:t>南通市医疗保障局</w:t>
      </w:r>
      <w:r>
        <w:rPr>
          <w:rFonts w:hint="eastAsia" w:ascii="宋体" w:hAnsi="宋体" w:cs="宋体"/>
          <w:snapToGrid w:val="0"/>
          <w:kern w:val="0"/>
          <w:sz w:val="24"/>
        </w:rPr>
        <w:t>：</w:t>
      </w:r>
    </w:p>
    <w:p w14:paraId="30A577D4">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依据贵单位委托代理机构组织的</w:t>
      </w:r>
      <w:r>
        <w:rPr>
          <w:rFonts w:hint="eastAsia" w:ascii="宋体" w:hAnsi="宋体" w:cs="宋体"/>
          <w:snapToGrid w:val="0"/>
          <w:kern w:val="0"/>
          <w:sz w:val="24"/>
          <w:u w:val="single"/>
        </w:rPr>
        <w:t>（磋商项目名称)</w:t>
      </w:r>
      <w:r>
        <w:rPr>
          <w:rFonts w:hint="eastAsia" w:ascii="宋体" w:hAnsi="宋体" w:cs="宋体"/>
          <w:snapToGrid w:val="0"/>
          <w:kern w:val="0"/>
          <w:sz w:val="24"/>
        </w:rPr>
        <w:t>项目竞争性磋商的邀请，我方授权</w:t>
      </w:r>
      <w:r>
        <w:rPr>
          <w:rFonts w:hint="eastAsia" w:ascii="宋体" w:hAnsi="宋体" w:cs="宋体"/>
          <w:snapToGrid w:val="0"/>
          <w:kern w:val="0"/>
          <w:sz w:val="24"/>
          <w:u w:val="single"/>
        </w:rPr>
        <w:t>（姓名）（职务）为</w:t>
      </w:r>
      <w:r>
        <w:rPr>
          <w:rFonts w:hint="eastAsia" w:ascii="宋体" w:hAnsi="宋体" w:cs="宋体"/>
          <w:snapToGrid w:val="0"/>
          <w:kern w:val="0"/>
          <w:sz w:val="24"/>
        </w:rPr>
        <w:t>全权代表参加该项目的磋商工作，全权处理本次竞争性磋商的有关事宜。同时，我公司声明如下：</w:t>
      </w:r>
    </w:p>
    <w:p w14:paraId="12402E3D">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1、同意并接受竞争性磋商文件的各项要求，遵守竞争性磋商文件中的各项规定，按竞争性磋商文件的要求提供报价。</w:t>
      </w:r>
    </w:p>
    <w:p w14:paraId="36A19AD4">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0B32AF3">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3、我公司已毫无保留地向贵方提供一切所需的证明材料。</w:t>
      </w:r>
    </w:p>
    <w:p w14:paraId="507006DB">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4、我公司承诺在本次磋商响应中提供的一切文件，无论是原件还是复印件均真实有效，绝无任何虚假、伪造和夸大的成分。否则，愿承担相应的后果和法律责任。</w:t>
      </w:r>
    </w:p>
    <w:p w14:paraId="7CE001C3">
      <w:pPr>
        <w:spacing w:line="360" w:lineRule="auto"/>
        <w:ind w:firstLine="480" w:firstLineChars="200"/>
        <w:textAlignment w:val="baseline"/>
        <w:rPr>
          <w:rFonts w:ascii="宋体" w:hAnsi="宋体" w:cs="宋体"/>
          <w:b/>
          <w:snapToGrid w:val="0"/>
          <w:kern w:val="0"/>
          <w:sz w:val="24"/>
        </w:rPr>
      </w:pPr>
      <w:r>
        <w:rPr>
          <w:rFonts w:hint="eastAsia" w:ascii="宋体" w:hAnsi="宋体" w:cs="宋体"/>
          <w:snapToGrid w:val="0"/>
          <w:kern w:val="0"/>
          <w:sz w:val="24"/>
        </w:rPr>
        <w:t>5、</w:t>
      </w:r>
      <w:r>
        <w:rPr>
          <w:rFonts w:hint="eastAsia" w:ascii="宋体" w:hAnsi="宋体" w:cs="宋体"/>
          <w:b/>
          <w:snapToGrid w:val="0"/>
          <w:kern w:val="0"/>
          <w:sz w:val="24"/>
        </w:rPr>
        <w:t>我公司尊重磋商小组所作的评定结果，同时清楚理解到报价最低并非意味着必定获得成交资格。</w:t>
      </w:r>
    </w:p>
    <w:p w14:paraId="40D4E566">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6、一旦成交，我方承诺无正当理由拒绝签订合同，将被贵方取消成交资格，同意贵方将磋商保证金作为违约金全额不予退还的处理。</w:t>
      </w:r>
    </w:p>
    <w:p w14:paraId="10C82F77">
      <w:pPr>
        <w:spacing w:line="360" w:lineRule="auto"/>
        <w:ind w:firstLine="480" w:firstLineChars="200"/>
        <w:textAlignment w:val="baseline"/>
        <w:rPr>
          <w:rFonts w:ascii="宋体" w:hAnsi="宋体" w:cs="宋体"/>
          <w:snapToGrid w:val="0"/>
          <w:kern w:val="0"/>
          <w:sz w:val="24"/>
        </w:rPr>
      </w:pPr>
      <w:r>
        <w:rPr>
          <w:rFonts w:hint="eastAsia" w:ascii="宋体" w:hAnsi="宋体" w:cs="宋体"/>
          <w:snapToGrid w:val="0"/>
          <w:kern w:val="0"/>
          <w:sz w:val="24"/>
        </w:rPr>
        <w:t>7、</w:t>
      </w:r>
      <w:r>
        <w:rPr>
          <w:rFonts w:hint="eastAsia" w:ascii="宋体" w:hAnsi="宋体" w:cs="宋体"/>
          <w:b/>
          <w:snapToGrid w:val="0"/>
          <w:kern w:val="0"/>
          <w:sz w:val="24"/>
        </w:rPr>
        <w:t>一旦成交，我方将根据竞争性磋商文件的规定，严格履行合同规定的责任和义务，并保证在竞争性磋商文件中规定的时间期限内完成合同项目。</w:t>
      </w:r>
    </w:p>
    <w:p w14:paraId="4E44EB97">
      <w:pPr>
        <w:spacing w:line="360" w:lineRule="auto"/>
        <w:ind w:firstLine="2760" w:firstLineChars="1150"/>
        <w:textAlignment w:val="baseline"/>
        <w:rPr>
          <w:rFonts w:ascii="宋体" w:hAnsi="宋体" w:cs="宋体"/>
          <w:snapToGrid w:val="0"/>
          <w:kern w:val="0"/>
          <w:sz w:val="24"/>
        </w:rPr>
      </w:pPr>
    </w:p>
    <w:p w14:paraId="52AAAC17">
      <w:pPr>
        <w:spacing w:line="360" w:lineRule="auto"/>
        <w:ind w:firstLine="3960" w:firstLineChars="1650"/>
        <w:textAlignment w:val="baseline"/>
        <w:rPr>
          <w:rFonts w:ascii="宋体" w:hAnsi="宋体" w:cs="宋体"/>
          <w:snapToGrid w:val="0"/>
          <w:kern w:val="0"/>
          <w:sz w:val="24"/>
        </w:rPr>
      </w:pPr>
      <w:r>
        <w:rPr>
          <w:rFonts w:hint="eastAsia" w:ascii="宋体" w:hAnsi="宋体" w:cs="宋体"/>
          <w:snapToGrid w:val="0"/>
          <w:kern w:val="0"/>
          <w:sz w:val="24"/>
        </w:rPr>
        <w:t>竞争性磋商响应单位：（加盖公章）</w:t>
      </w:r>
    </w:p>
    <w:p w14:paraId="68E81063">
      <w:pPr>
        <w:spacing w:line="360" w:lineRule="auto"/>
        <w:ind w:firstLine="4080" w:firstLineChars="1700"/>
        <w:textAlignment w:val="baseline"/>
        <w:rPr>
          <w:rFonts w:ascii="宋体" w:hAnsi="宋体" w:cs="宋体"/>
          <w:snapToGrid w:val="0"/>
          <w:kern w:val="0"/>
          <w:sz w:val="24"/>
        </w:rPr>
      </w:pPr>
      <w:r>
        <w:rPr>
          <w:rFonts w:hint="eastAsia" w:ascii="宋体" w:hAnsi="宋体" w:cs="宋体"/>
          <w:snapToGrid w:val="0"/>
          <w:kern w:val="0"/>
          <w:sz w:val="24"/>
        </w:rPr>
        <w:t>法定代表人：（签字或盖章）</w:t>
      </w:r>
    </w:p>
    <w:p w14:paraId="2B7D7764">
      <w:pPr>
        <w:spacing w:line="360" w:lineRule="auto"/>
        <w:ind w:firstLine="6480" w:firstLineChars="2700"/>
        <w:textAlignment w:val="baseline"/>
        <w:rPr>
          <w:rFonts w:ascii="宋体" w:hAnsi="宋体" w:cs="宋体"/>
          <w:snapToGrid w:val="0"/>
          <w:kern w:val="0"/>
          <w:sz w:val="24"/>
        </w:rPr>
      </w:pPr>
      <w:r>
        <w:rPr>
          <w:rFonts w:hint="eastAsia" w:ascii="宋体" w:hAnsi="宋体" w:cs="宋体"/>
          <w:snapToGrid w:val="0"/>
          <w:kern w:val="0"/>
          <w:sz w:val="24"/>
        </w:rPr>
        <w:t>年    月   日</w:t>
      </w:r>
    </w:p>
    <w:p w14:paraId="473EE5F1">
      <w:pPr>
        <w:autoSpaceDE w:val="0"/>
        <w:autoSpaceDN w:val="0"/>
        <w:adjustRightInd w:val="0"/>
        <w:snapToGrid w:val="0"/>
        <w:spacing w:line="360" w:lineRule="auto"/>
        <w:ind w:firstLine="560" w:firstLineChars="200"/>
        <w:contextualSpacing/>
        <w:jc w:val="left"/>
        <w:rPr>
          <w:rFonts w:ascii="Times New Roman" w:hAnsi="Times New Roman" w:cs="黑体"/>
          <w:sz w:val="28"/>
          <w:szCs w:val="28"/>
        </w:rPr>
      </w:pPr>
    </w:p>
    <w:p w14:paraId="493324A3">
      <w:pPr>
        <w:spacing w:line="360" w:lineRule="auto"/>
        <w:jc w:val="center"/>
        <w:rPr>
          <w:rFonts w:ascii="宋体" w:hAnsi="宋体" w:cs="宋体"/>
          <w:b/>
          <w:snapToGrid w:val="0"/>
          <w:kern w:val="0"/>
          <w:sz w:val="24"/>
        </w:rPr>
      </w:pPr>
      <w:r>
        <w:rPr>
          <w:rFonts w:hint="eastAsia" w:ascii="Times New Roman" w:hAnsi="Times New Roman" w:cs="黑体"/>
          <w:sz w:val="28"/>
          <w:szCs w:val="28"/>
        </w:rPr>
        <w:br w:type="page"/>
      </w:r>
      <w:r>
        <w:rPr>
          <w:rFonts w:hint="eastAsia" w:ascii="宋体" w:hAnsi="宋体" w:cs="宋体"/>
          <w:b/>
          <w:snapToGrid w:val="0"/>
          <w:kern w:val="0"/>
          <w:sz w:val="24"/>
        </w:rPr>
        <w:t>6、商务技术正负偏离表</w:t>
      </w:r>
    </w:p>
    <w:p w14:paraId="08F7EF20">
      <w:pPr>
        <w:spacing w:line="360" w:lineRule="auto"/>
        <w:ind w:firstLine="480"/>
        <w:jc w:val="center"/>
        <w:textAlignment w:val="baseline"/>
        <w:rPr>
          <w:rFonts w:ascii="宋体" w:hAnsi="宋体" w:cs="宋体"/>
          <w:snapToGrid w:val="0"/>
          <w:kern w:val="0"/>
          <w:sz w:val="24"/>
        </w:rPr>
      </w:pPr>
      <w:r>
        <w:rPr>
          <w:rFonts w:hint="eastAsia" w:ascii="宋体" w:hAnsi="宋体" w:cs="宋体"/>
          <w:snapToGrid w:val="0"/>
          <w:kern w:val="0"/>
          <w:sz w:val="28"/>
          <w:szCs w:val="28"/>
        </w:rPr>
        <w:t>（</w:t>
      </w:r>
      <w:r>
        <w:rPr>
          <w:rFonts w:hint="eastAsia" w:ascii="宋体" w:hAnsi="宋体" w:cs="宋体"/>
          <w:snapToGrid w:val="0"/>
          <w:kern w:val="0"/>
          <w:sz w:val="24"/>
        </w:rPr>
        <w:t>由响应人据实提交，表格不够自行添加）</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57"/>
        <w:gridCol w:w="2302"/>
        <w:gridCol w:w="2720"/>
        <w:gridCol w:w="1417"/>
      </w:tblGrid>
      <w:tr w14:paraId="0F79F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14:paraId="320E42DE">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序号</w:t>
            </w:r>
          </w:p>
        </w:tc>
        <w:tc>
          <w:tcPr>
            <w:tcW w:w="1357" w:type="dxa"/>
            <w:tcBorders>
              <w:top w:val="single" w:color="auto" w:sz="12" w:space="0"/>
              <w:left w:val="single" w:color="auto" w:sz="6" w:space="0"/>
              <w:bottom w:val="single" w:color="auto" w:sz="6" w:space="0"/>
              <w:right w:val="single" w:color="auto" w:sz="6" w:space="0"/>
            </w:tcBorders>
            <w:vAlign w:val="center"/>
          </w:tcPr>
          <w:p w14:paraId="07E0C2D1">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采购文件条目号</w:t>
            </w:r>
          </w:p>
        </w:tc>
        <w:tc>
          <w:tcPr>
            <w:tcW w:w="2302" w:type="dxa"/>
            <w:tcBorders>
              <w:top w:val="single" w:color="auto" w:sz="12" w:space="0"/>
              <w:left w:val="single" w:color="auto" w:sz="6" w:space="0"/>
              <w:bottom w:val="single" w:color="auto" w:sz="6" w:space="0"/>
              <w:right w:val="single" w:color="auto" w:sz="6" w:space="0"/>
            </w:tcBorders>
            <w:vAlign w:val="center"/>
          </w:tcPr>
          <w:p w14:paraId="1F641C63">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5CB03AA2">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4BD5EA41">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偏离说明</w:t>
            </w:r>
          </w:p>
        </w:tc>
      </w:tr>
      <w:tr w14:paraId="1A0BD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14:paraId="30439937">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1</w:t>
            </w:r>
          </w:p>
        </w:tc>
        <w:tc>
          <w:tcPr>
            <w:tcW w:w="1357" w:type="dxa"/>
            <w:tcBorders>
              <w:top w:val="single" w:color="auto" w:sz="6" w:space="0"/>
              <w:left w:val="single" w:color="auto" w:sz="6" w:space="0"/>
              <w:bottom w:val="single" w:color="auto" w:sz="6" w:space="0"/>
              <w:right w:val="single" w:color="auto" w:sz="6" w:space="0"/>
            </w:tcBorders>
            <w:vAlign w:val="center"/>
          </w:tcPr>
          <w:p w14:paraId="7F292492">
            <w:pPr>
              <w:spacing w:line="360" w:lineRule="auto"/>
              <w:jc w:val="center"/>
              <w:textAlignment w:val="baseline"/>
              <w:rPr>
                <w:rFonts w:ascii="宋体" w:hAnsi="宋体" w:cs="宋体"/>
                <w:snapToGrid w:val="0"/>
                <w:kern w:val="0"/>
                <w:sz w:val="24"/>
              </w:rPr>
            </w:pPr>
          </w:p>
        </w:tc>
        <w:tc>
          <w:tcPr>
            <w:tcW w:w="2302" w:type="dxa"/>
            <w:tcBorders>
              <w:top w:val="single" w:color="auto" w:sz="6" w:space="0"/>
              <w:left w:val="single" w:color="auto" w:sz="6" w:space="0"/>
              <w:bottom w:val="single" w:color="auto" w:sz="6" w:space="0"/>
              <w:right w:val="single" w:color="auto" w:sz="6" w:space="0"/>
            </w:tcBorders>
            <w:vAlign w:val="center"/>
          </w:tcPr>
          <w:p w14:paraId="3EA6A399">
            <w:pPr>
              <w:spacing w:line="360" w:lineRule="auto"/>
              <w:jc w:val="center"/>
              <w:textAlignment w:val="baseline"/>
              <w:rPr>
                <w:rFonts w:ascii="宋体" w:hAnsi="宋体" w:cs="宋体"/>
                <w:snapToGrid w:val="0"/>
                <w:kern w:val="0"/>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5BDFEDC3">
            <w:pPr>
              <w:spacing w:line="360" w:lineRule="auto"/>
              <w:jc w:val="center"/>
              <w:textAlignment w:val="baseline"/>
              <w:rPr>
                <w:rFonts w:ascii="宋体" w:hAnsi="宋体" w:cs="宋体"/>
                <w:snapToGrid w:val="0"/>
                <w:kern w:val="0"/>
                <w:sz w:val="24"/>
              </w:rPr>
            </w:pPr>
          </w:p>
        </w:tc>
        <w:tc>
          <w:tcPr>
            <w:tcW w:w="1417" w:type="dxa"/>
            <w:tcBorders>
              <w:top w:val="single" w:color="auto" w:sz="6" w:space="0"/>
              <w:left w:val="single" w:color="auto" w:sz="6" w:space="0"/>
              <w:bottom w:val="single" w:color="auto" w:sz="6" w:space="0"/>
              <w:right w:val="single" w:color="auto" w:sz="12" w:space="0"/>
            </w:tcBorders>
          </w:tcPr>
          <w:p w14:paraId="2BABF336">
            <w:pPr>
              <w:spacing w:line="360" w:lineRule="auto"/>
              <w:jc w:val="center"/>
              <w:textAlignment w:val="baseline"/>
              <w:rPr>
                <w:rFonts w:ascii="宋体" w:hAnsi="宋体" w:cs="宋体"/>
                <w:snapToGrid w:val="0"/>
                <w:kern w:val="0"/>
                <w:sz w:val="24"/>
              </w:rPr>
            </w:pPr>
          </w:p>
        </w:tc>
      </w:tr>
      <w:tr w14:paraId="5EB51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14:paraId="0897EC9F">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2</w:t>
            </w:r>
          </w:p>
        </w:tc>
        <w:tc>
          <w:tcPr>
            <w:tcW w:w="1357" w:type="dxa"/>
            <w:tcBorders>
              <w:top w:val="single" w:color="auto" w:sz="6" w:space="0"/>
              <w:left w:val="single" w:color="auto" w:sz="6" w:space="0"/>
              <w:bottom w:val="single" w:color="auto" w:sz="6" w:space="0"/>
              <w:right w:val="single" w:color="auto" w:sz="6" w:space="0"/>
            </w:tcBorders>
            <w:vAlign w:val="center"/>
          </w:tcPr>
          <w:p w14:paraId="0ACEF98A">
            <w:pPr>
              <w:spacing w:line="360" w:lineRule="auto"/>
              <w:jc w:val="center"/>
              <w:textAlignment w:val="baseline"/>
              <w:rPr>
                <w:rFonts w:ascii="宋体" w:hAnsi="宋体" w:cs="宋体"/>
                <w:snapToGrid w:val="0"/>
                <w:kern w:val="0"/>
                <w:sz w:val="24"/>
              </w:rPr>
            </w:pPr>
          </w:p>
        </w:tc>
        <w:tc>
          <w:tcPr>
            <w:tcW w:w="2302" w:type="dxa"/>
            <w:tcBorders>
              <w:top w:val="single" w:color="auto" w:sz="6" w:space="0"/>
              <w:left w:val="single" w:color="auto" w:sz="6" w:space="0"/>
              <w:bottom w:val="single" w:color="auto" w:sz="6" w:space="0"/>
              <w:right w:val="single" w:color="auto" w:sz="6" w:space="0"/>
            </w:tcBorders>
            <w:vAlign w:val="center"/>
          </w:tcPr>
          <w:p w14:paraId="3F7EEA05">
            <w:pPr>
              <w:spacing w:line="360" w:lineRule="auto"/>
              <w:jc w:val="center"/>
              <w:textAlignment w:val="baseline"/>
              <w:rPr>
                <w:rFonts w:ascii="宋体" w:hAnsi="宋体" w:cs="宋体"/>
                <w:snapToGrid w:val="0"/>
                <w:kern w:val="0"/>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6FEE66A2">
            <w:pPr>
              <w:spacing w:line="360" w:lineRule="auto"/>
              <w:jc w:val="center"/>
              <w:textAlignment w:val="baseline"/>
              <w:rPr>
                <w:rFonts w:ascii="宋体" w:hAnsi="宋体" w:cs="宋体"/>
                <w:snapToGrid w:val="0"/>
                <w:kern w:val="0"/>
                <w:sz w:val="24"/>
              </w:rPr>
            </w:pPr>
          </w:p>
        </w:tc>
        <w:tc>
          <w:tcPr>
            <w:tcW w:w="1417" w:type="dxa"/>
            <w:tcBorders>
              <w:top w:val="single" w:color="auto" w:sz="6" w:space="0"/>
              <w:left w:val="single" w:color="auto" w:sz="6" w:space="0"/>
              <w:bottom w:val="single" w:color="auto" w:sz="6" w:space="0"/>
              <w:right w:val="single" w:color="auto" w:sz="12" w:space="0"/>
            </w:tcBorders>
          </w:tcPr>
          <w:p w14:paraId="69D868A7">
            <w:pPr>
              <w:spacing w:line="360" w:lineRule="auto"/>
              <w:jc w:val="center"/>
              <w:textAlignment w:val="baseline"/>
              <w:rPr>
                <w:rFonts w:ascii="宋体" w:hAnsi="宋体" w:cs="宋体"/>
                <w:snapToGrid w:val="0"/>
                <w:kern w:val="0"/>
                <w:sz w:val="24"/>
              </w:rPr>
            </w:pPr>
          </w:p>
        </w:tc>
      </w:tr>
      <w:tr w14:paraId="41FA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14:paraId="38255DAB">
            <w:pPr>
              <w:spacing w:line="360" w:lineRule="auto"/>
              <w:jc w:val="center"/>
              <w:textAlignment w:val="baseline"/>
              <w:rPr>
                <w:rFonts w:ascii="宋体" w:hAnsi="宋体" w:cs="宋体"/>
                <w:snapToGrid w:val="0"/>
                <w:kern w:val="0"/>
                <w:sz w:val="24"/>
              </w:rPr>
            </w:pPr>
            <w:r>
              <w:rPr>
                <w:rFonts w:hint="eastAsia" w:ascii="宋体" w:hAnsi="宋体" w:cs="宋体"/>
                <w:snapToGrid w:val="0"/>
                <w:kern w:val="0"/>
                <w:sz w:val="24"/>
              </w:rPr>
              <w:t>3</w:t>
            </w:r>
          </w:p>
        </w:tc>
        <w:tc>
          <w:tcPr>
            <w:tcW w:w="1357" w:type="dxa"/>
            <w:tcBorders>
              <w:top w:val="single" w:color="auto" w:sz="6" w:space="0"/>
              <w:left w:val="single" w:color="auto" w:sz="6" w:space="0"/>
              <w:bottom w:val="single" w:color="auto" w:sz="6" w:space="0"/>
              <w:right w:val="single" w:color="auto" w:sz="6" w:space="0"/>
            </w:tcBorders>
            <w:vAlign w:val="center"/>
          </w:tcPr>
          <w:p w14:paraId="042FA879">
            <w:pPr>
              <w:spacing w:line="360" w:lineRule="auto"/>
              <w:jc w:val="center"/>
              <w:textAlignment w:val="baseline"/>
              <w:rPr>
                <w:rFonts w:ascii="宋体" w:hAnsi="宋体" w:cs="宋体"/>
                <w:snapToGrid w:val="0"/>
                <w:kern w:val="0"/>
                <w:sz w:val="24"/>
              </w:rPr>
            </w:pPr>
          </w:p>
        </w:tc>
        <w:tc>
          <w:tcPr>
            <w:tcW w:w="2302" w:type="dxa"/>
            <w:tcBorders>
              <w:top w:val="single" w:color="auto" w:sz="6" w:space="0"/>
              <w:left w:val="single" w:color="auto" w:sz="6" w:space="0"/>
              <w:bottom w:val="single" w:color="auto" w:sz="6" w:space="0"/>
              <w:right w:val="single" w:color="auto" w:sz="6" w:space="0"/>
            </w:tcBorders>
            <w:vAlign w:val="center"/>
          </w:tcPr>
          <w:p w14:paraId="66AB0E0F">
            <w:pPr>
              <w:spacing w:line="360" w:lineRule="auto"/>
              <w:jc w:val="center"/>
              <w:textAlignment w:val="baseline"/>
              <w:rPr>
                <w:rFonts w:ascii="宋体" w:hAnsi="宋体" w:cs="宋体"/>
                <w:snapToGrid w:val="0"/>
                <w:kern w:val="0"/>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4A7F9CDD">
            <w:pPr>
              <w:spacing w:line="360" w:lineRule="auto"/>
              <w:jc w:val="center"/>
              <w:textAlignment w:val="baseline"/>
              <w:rPr>
                <w:rFonts w:ascii="宋体" w:hAnsi="宋体" w:cs="宋体"/>
                <w:snapToGrid w:val="0"/>
                <w:kern w:val="0"/>
                <w:sz w:val="24"/>
              </w:rPr>
            </w:pPr>
          </w:p>
        </w:tc>
        <w:tc>
          <w:tcPr>
            <w:tcW w:w="1417" w:type="dxa"/>
            <w:tcBorders>
              <w:top w:val="single" w:color="auto" w:sz="6" w:space="0"/>
              <w:left w:val="single" w:color="auto" w:sz="6" w:space="0"/>
              <w:bottom w:val="single" w:color="auto" w:sz="6" w:space="0"/>
              <w:right w:val="single" w:color="auto" w:sz="12" w:space="0"/>
            </w:tcBorders>
          </w:tcPr>
          <w:p w14:paraId="4CF34184">
            <w:pPr>
              <w:spacing w:line="360" w:lineRule="auto"/>
              <w:jc w:val="center"/>
              <w:textAlignment w:val="baseline"/>
              <w:rPr>
                <w:rFonts w:ascii="宋体" w:hAnsi="宋体" w:cs="宋体"/>
                <w:snapToGrid w:val="0"/>
                <w:kern w:val="0"/>
                <w:sz w:val="24"/>
              </w:rPr>
            </w:pPr>
          </w:p>
        </w:tc>
      </w:tr>
      <w:tr w14:paraId="05243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14:paraId="37099637">
            <w:pPr>
              <w:spacing w:line="360" w:lineRule="auto"/>
              <w:jc w:val="center"/>
              <w:textAlignment w:val="baseline"/>
              <w:rPr>
                <w:rFonts w:ascii="宋体" w:hAnsi="宋体" w:cs="宋体"/>
                <w:snapToGrid w:val="0"/>
                <w:kern w:val="0"/>
                <w:sz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69918124">
            <w:pPr>
              <w:spacing w:line="360" w:lineRule="auto"/>
              <w:jc w:val="center"/>
              <w:textAlignment w:val="baseline"/>
              <w:rPr>
                <w:rFonts w:ascii="宋体" w:hAnsi="宋体" w:cs="宋体"/>
                <w:snapToGrid w:val="0"/>
                <w:kern w:val="0"/>
                <w:sz w:val="24"/>
              </w:rPr>
            </w:pPr>
          </w:p>
        </w:tc>
        <w:tc>
          <w:tcPr>
            <w:tcW w:w="2302" w:type="dxa"/>
            <w:tcBorders>
              <w:top w:val="single" w:color="auto" w:sz="6" w:space="0"/>
              <w:left w:val="single" w:color="auto" w:sz="6" w:space="0"/>
              <w:bottom w:val="single" w:color="auto" w:sz="6" w:space="0"/>
              <w:right w:val="single" w:color="auto" w:sz="6" w:space="0"/>
            </w:tcBorders>
            <w:vAlign w:val="center"/>
          </w:tcPr>
          <w:p w14:paraId="755836F2">
            <w:pPr>
              <w:spacing w:line="360" w:lineRule="auto"/>
              <w:jc w:val="center"/>
              <w:textAlignment w:val="baseline"/>
              <w:rPr>
                <w:rFonts w:ascii="宋体" w:hAnsi="宋体" w:cs="宋体"/>
                <w:snapToGrid w:val="0"/>
                <w:kern w:val="0"/>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5F495382">
            <w:pPr>
              <w:spacing w:line="360" w:lineRule="auto"/>
              <w:jc w:val="center"/>
              <w:textAlignment w:val="baseline"/>
              <w:rPr>
                <w:rFonts w:ascii="宋体" w:hAnsi="宋体" w:cs="宋体"/>
                <w:snapToGrid w:val="0"/>
                <w:kern w:val="0"/>
                <w:sz w:val="24"/>
              </w:rPr>
            </w:pPr>
          </w:p>
        </w:tc>
        <w:tc>
          <w:tcPr>
            <w:tcW w:w="1417" w:type="dxa"/>
            <w:tcBorders>
              <w:top w:val="single" w:color="auto" w:sz="6" w:space="0"/>
              <w:left w:val="single" w:color="auto" w:sz="6" w:space="0"/>
              <w:bottom w:val="single" w:color="auto" w:sz="6" w:space="0"/>
              <w:right w:val="single" w:color="auto" w:sz="12" w:space="0"/>
            </w:tcBorders>
          </w:tcPr>
          <w:p w14:paraId="78E59427">
            <w:pPr>
              <w:spacing w:line="360" w:lineRule="auto"/>
              <w:jc w:val="center"/>
              <w:textAlignment w:val="baseline"/>
              <w:rPr>
                <w:rFonts w:ascii="宋体" w:hAnsi="宋体" w:cs="宋体"/>
                <w:snapToGrid w:val="0"/>
                <w:kern w:val="0"/>
                <w:sz w:val="24"/>
              </w:rPr>
            </w:pPr>
          </w:p>
        </w:tc>
      </w:tr>
    </w:tbl>
    <w:p w14:paraId="2D0DED3A">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注：</w:t>
      </w:r>
    </w:p>
    <w:p w14:paraId="666AD81B">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1、响应人提交的响应文件中与磋商文件第三部分“项目需求说明”中的商务、技术部分的要求有不同时，应逐条填列在偏离表中，否则将认为响应人接受磋商文件的所有要求。完全响应部分不填到。</w:t>
      </w:r>
    </w:p>
    <w:p w14:paraId="5981DAC2">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2、“偏离说明”一栏选择“正偏离”“负偏离”进行填写。正偏离的确认和负偏离的是否相应磋商文件，经三分之二评委认定。</w:t>
      </w:r>
    </w:p>
    <w:p w14:paraId="3B8CE172">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3、响应人如果虚假响应，将承担一切可能的风险。</w:t>
      </w:r>
    </w:p>
    <w:p w14:paraId="5C2390DB">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4、供应商若提供其他增值服务，可以在表中自行据实填写。</w:t>
      </w:r>
    </w:p>
    <w:p w14:paraId="71E45E43">
      <w:pPr>
        <w:spacing w:line="360" w:lineRule="auto"/>
        <w:ind w:firstLine="480"/>
        <w:textAlignment w:val="baseline"/>
        <w:rPr>
          <w:rFonts w:ascii="宋体" w:hAnsi="宋体" w:cs="宋体"/>
          <w:snapToGrid w:val="0"/>
          <w:kern w:val="0"/>
          <w:sz w:val="24"/>
        </w:rPr>
      </w:pPr>
    </w:p>
    <w:p w14:paraId="2C4BB1B7">
      <w:pPr>
        <w:spacing w:line="360" w:lineRule="auto"/>
        <w:ind w:firstLine="480"/>
        <w:textAlignment w:val="baseline"/>
        <w:rPr>
          <w:rFonts w:ascii="宋体" w:hAnsi="宋体" w:cs="宋体"/>
          <w:snapToGrid w:val="0"/>
          <w:kern w:val="0"/>
          <w:sz w:val="24"/>
        </w:rPr>
      </w:pPr>
    </w:p>
    <w:p w14:paraId="4227DC01">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供应商名称（盖章）：</w:t>
      </w:r>
    </w:p>
    <w:p w14:paraId="4DF49319">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法人或授权委托人（签字或盖章）：</w:t>
      </w:r>
    </w:p>
    <w:p w14:paraId="7061C4B8">
      <w:pPr>
        <w:spacing w:line="360" w:lineRule="auto"/>
        <w:ind w:firstLine="480"/>
        <w:textAlignment w:val="baseline"/>
        <w:rPr>
          <w:rFonts w:ascii="宋体" w:hAnsi="宋体" w:cs="宋体"/>
          <w:snapToGrid w:val="0"/>
          <w:kern w:val="0"/>
          <w:sz w:val="24"/>
        </w:rPr>
      </w:pPr>
      <w:r>
        <w:rPr>
          <w:rFonts w:hint="eastAsia" w:ascii="宋体" w:hAnsi="宋体" w:cs="宋体"/>
          <w:snapToGrid w:val="0"/>
          <w:kern w:val="0"/>
          <w:sz w:val="24"/>
        </w:rPr>
        <w:t>日期：</w:t>
      </w:r>
    </w:p>
    <w:p w14:paraId="53AA55E2">
      <w:pPr>
        <w:rPr>
          <w:rFonts w:ascii="Times New Roman" w:hAnsi="Times New Roman"/>
          <w:b/>
          <w:sz w:val="28"/>
          <w:szCs w:val="28"/>
        </w:rPr>
      </w:pPr>
    </w:p>
    <w:p w14:paraId="60721628">
      <w:pPr>
        <w:rPr>
          <w:rFonts w:ascii="Times New Roman" w:hAnsi="Times New Roman"/>
          <w:b/>
          <w:sz w:val="28"/>
          <w:szCs w:val="28"/>
        </w:rPr>
      </w:pPr>
      <w:r>
        <w:rPr>
          <w:rFonts w:hint="eastAsia" w:ascii="Times New Roman" w:hAnsi="Times New Roman"/>
          <w:b/>
          <w:sz w:val="28"/>
          <w:szCs w:val="28"/>
        </w:rPr>
        <w:br w:type="page"/>
      </w:r>
    </w:p>
    <w:p w14:paraId="3A0D8828">
      <w:pPr>
        <w:snapToGrid w:val="0"/>
        <w:spacing w:line="520" w:lineRule="exact"/>
        <w:jc w:val="center"/>
        <w:outlineLvl w:val="3"/>
        <w:rPr>
          <w:rFonts w:ascii="Times New Roman" w:hAnsi="Times New Roman"/>
          <w:b/>
          <w:sz w:val="28"/>
          <w:szCs w:val="28"/>
        </w:rPr>
      </w:pPr>
      <w:r>
        <w:rPr>
          <w:rFonts w:hint="eastAsia" w:ascii="Times New Roman" w:hAnsi="Times New Roman"/>
          <w:b/>
          <w:sz w:val="28"/>
          <w:szCs w:val="28"/>
        </w:rPr>
        <w:t>7、磋商响应报价表</w:t>
      </w:r>
    </w:p>
    <w:p w14:paraId="017076A1">
      <w:pPr>
        <w:kinsoku w:val="0"/>
        <w:topLinePunct/>
        <w:snapToGrid w:val="0"/>
        <w:spacing w:line="360" w:lineRule="auto"/>
        <w:ind w:firstLine="482" w:firstLineChars="200"/>
        <w:rPr>
          <w:rFonts w:ascii="Times New Roman" w:hAnsi="Times New Roman"/>
          <w:b/>
          <w:sz w:val="24"/>
        </w:rPr>
      </w:pPr>
      <w:r>
        <w:rPr>
          <w:rFonts w:hint="eastAsia" w:ascii="Times New Roman" w:hAnsi="Times New Roman"/>
          <w:b/>
          <w:sz w:val="24"/>
        </w:rPr>
        <w:t>项目</w:t>
      </w:r>
      <w:r>
        <w:rPr>
          <w:rFonts w:ascii="Times New Roman" w:hAnsi="Times New Roman"/>
          <w:b/>
          <w:sz w:val="24"/>
        </w:rPr>
        <w:t>名称：</w:t>
      </w:r>
    </w:p>
    <w:tbl>
      <w:tblPr>
        <w:tblStyle w:val="23"/>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26"/>
        <w:gridCol w:w="3828"/>
        <w:gridCol w:w="2835"/>
      </w:tblGrid>
      <w:tr w14:paraId="41D8A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1F323B1">
            <w:pPr>
              <w:kinsoku w:val="0"/>
              <w:topLinePunct/>
              <w:snapToGrid w:val="0"/>
              <w:spacing w:line="360" w:lineRule="auto"/>
              <w:jc w:val="center"/>
              <w:rPr>
                <w:rFonts w:ascii="Times New Roman" w:hAnsi="Times New Roman"/>
                <w:b/>
                <w:sz w:val="24"/>
              </w:rPr>
            </w:pPr>
            <w:r>
              <w:rPr>
                <w:rFonts w:hint="eastAsia" w:ascii="Times New Roman" w:hAnsi="Times New Roman"/>
                <w:b/>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516F27FD">
            <w:pPr>
              <w:kinsoku w:val="0"/>
              <w:topLinePunct/>
              <w:snapToGrid w:val="0"/>
              <w:spacing w:line="360" w:lineRule="auto"/>
              <w:jc w:val="center"/>
              <w:rPr>
                <w:rFonts w:ascii="Times New Roman" w:hAnsi="Times New Roman"/>
                <w:b/>
                <w:sz w:val="24"/>
              </w:rPr>
            </w:pPr>
            <w:r>
              <w:rPr>
                <w:rFonts w:hint="eastAsia" w:ascii="Times New Roman" w:hAnsi="Times New Roman"/>
                <w:b/>
                <w:sz w:val="24"/>
              </w:rPr>
              <w:t>报价轮次</w:t>
            </w:r>
          </w:p>
        </w:tc>
        <w:tc>
          <w:tcPr>
            <w:tcW w:w="3828" w:type="dxa"/>
            <w:tcBorders>
              <w:top w:val="single" w:color="auto" w:sz="4" w:space="0"/>
              <w:left w:val="single" w:color="auto" w:sz="4" w:space="0"/>
              <w:bottom w:val="single" w:color="auto" w:sz="4" w:space="0"/>
              <w:right w:val="single" w:color="auto" w:sz="4" w:space="0"/>
            </w:tcBorders>
            <w:vAlign w:val="center"/>
          </w:tcPr>
          <w:p w14:paraId="6B3DC369">
            <w:pPr>
              <w:kinsoku w:val="0"/>
              <w:topLinePunct/>
              <w:snapToGrid w:val="0"/>
              <w:spacing w:line="360" w:lineRule="auto"/>
              <w:jc w:val="center"/>
              <w:rPr>
                <w:rFonts w:ascii="Times New Roman" w:hAnsi="Times New Roman"/>
                <w:b/>
                <w:sz w:val="24"/>
              </w:rPr>
            </w:pPr>
            <w:r>
              <w:rPr>
                <w:rFonts w:hint="eastAsia" w:ascii="Times New Roman" w:hAnsi="Times New Roman"/>
                <w:b/>
                <w:sz w:val="24"/>
              </w:rPr>
              <w:t>法律顾问服务费部分</w:t>
            </w:r>
          </w:p>
          <w:p w14:paraId="60673B01">
            <w:pPr>
              <w:kinsoku w:val="0"/>
              <w:topLinePunct/>
              <w:snapToGrid w:val="0"/>
              <w:spacing w:line="360" w:lineRule="auto"/>
              <w:jc w:val="center"/>
              <w:rPr>
                <w:rFonts w:ascii="Times New Roman" w:hAnsi="Times New Roman"/>
                <w:b/>
                <w:sz w:val="24"/>
              </w:rPr>
            </w:pPr>
            <w:r>
              <w:rPr>
                <w:rFonts w:hint="eastAsia" w:ascii="Times New Roman" w:hAnsi="Times New Roman"/>
                <w:b/>
                <w:sz w:val="24"/>
              </w:rPr>
              <w:t>磋商报价（</w:t>
            </w:r>
            <w:r>
              <w:rPr>
                <w:rFonts w:hint="eastAsia" w:cs="宋体"/>
                <w:b/>
                <w:bCs/>
                <w:sz w:val="24"/>
              </w:rPr>
              <w:t>元/年</w:t>
            </w:r>
            <w:r>
              <w:rPr>
                <w:rFonts w:hint="eastAsia" w:ascii="Times New Roman" w:hAnsi="Times New Roman"/>
                <w:b/>
                <w:sz w:val="24"/>
              </w:rPr>
              <w:t>）</w:t>
            </w:r>
          </w:p>
        </w:tc>
        <w:tc>
          <w:tcPr>
            <w:tcW w:w="2835" w:type="dxa"/>
            <w:tcBorders>
              <w:top w:val="single" w:color="auto" w:sz="4" w:space="0"/>
              <w:left w:val="single" w:color="auto" w:sz="4" w:space="0"/>
              <w:bottom w:val="single" w:color="auto" w:sz="4" w:space="0"/>
              <w:right w:val="single" w:color="auto" w:sz="4" w:space="0"/>
            </w:tcBorders>
            <w:vAlign w:val="center"/>
          </w:tcPr>
          <w:p w14:paraId="6845B7C6">
            <w:pPr>
              <w:kinsoku w:val="0"/>
              <w:topLinePunct/>
              <w:snapToGrid w:val="0"/>
              <w:spacing w:line="360" w:lineRule="auto"/>
              <w:jc w:val="center"/>
              <w:rPr>
                <w:rFonts w:ascii="Times New Roman" w:hAnsi="Times New Roman"/>
                <w:b/>
                <w:sz w:val="24"/>
              </w:rPr>
            </w:pPr>
            <w:r>
              <w:rPr>
                <w:rFonts w:hint="eastAsia" w:ascii="Times New Roman" w:hAnsi="Times New Roman"/>
                <w:b/>
                <w:sz w:val="24"/>
              </w:rPr>
              <w:t>服务期</w:t>
            </w:r>
          </w:p>
        </w:tc>
      </w:tr>
      <w:tr w14:paraId="74501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9F3DE83">
            <w:pPr>
              <w:kinsoku w:val="0"/>
              <w:topLinePunct/>
              <w:snapToGrid w:val="0"/>
              <w:spacing w:line="360" w:lineRule="auto"/>
              <w:jc w:val="center"/>
              <w:rPr>
                <w:rFonts w:ascii="Times New Roman" w:hAnsi="Times New Roman"/>
                <w:bCs/>
                <w:sz w:val="24"/>
              </w:rPr>
            </w:pPr>
            <w:r>
              <w:rPr>
                <w:rFonts w:hint="eastAsia" w:ascii="Times New Roman" w:hAnsi="Times New Roman"/>
                <w:bCs/>
                <w:sz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0D188C02">
            <w:pPr>
              <w:kinsoku w:val="0"/>
              <w:topLinePunct/>
              <w:snapToGrid w:val="0"/>
              <w:spacing w:line="360" w:lineRule="auto"/>
              <w:ind w:firstLine="480" w:firstLineChars="200"/>
              <w:rPr>
                <w:rFonts w:ascii="Times New Roman" w:hAnsi="Times New Roman"/>
                <w:bCs/>
                <w:sz w:val="24"/>
              </w:rPr>
            </w:pPr>
            <w:r>
              <w:rPr>
                <w:rFonts w:hint="eastAsia" w:ascii="Times New Roman" w:hAnsi="Times New Roman"/>
                <w:bCs/>
                <w:sz w:val="24"/>
              </w:rPr>
              <w:t>首次</w:t>
            </w:r>
            <w:r>
              <w:rPr>
                <w:rFonts w:ascii="Times New Roman" w:hAnsi="Times New Roman"/>
                <w:bCs/>
                <w:sz w:val="24"/>
              </w:rPr>
              <w:t>报价</w:t>
            </w:r>
          </w:p>
        </w:tc>
        <w:tc>
          <w:tcPr>
            <w:tcW w:w="3828" w:type="dxa"/>
            <w:tcBorders>
              <w:top w:val="single" w:color="auto" w:sz="4" w:space="0"/>
              <w:left w:val="single" w:color="auto" w:sz="4" w:space="0"/>
              <w:bottom w:val="single" w:color="auto" w:sz="4" w:space="0"/>
              <w:right w:val="single" w:color="auto" w:sz="4" w:space="0"/>
            </w:tcBorders>
            <w:vAlign w:val="center"/>
          </w:tcPr>
          <w:p w14:paraId="3AAAD6C4">
            <w:pPr>
              <w:spacing w:line="520" w:lineRule="exact"/>
              <w:textAlignment w:val="bottom"/>
              <w:rPr>
                <w:rFonts w:ascii="Times New Roman" w:hAnsi="Times New Roman" w:cs="宋体"/>
                <w:kern w:val="0"/>
                <w:sz w:val="24"/>
                <w:u w:val="single"/>
              </w:rPr>
            </w:pPr>
            <w:r>
              <w:rPr>
                <w:rFonts w:hint="eastAsia" w:ascii="Times New Roman" w:hAnsi="Times New Roman" w:cs="宋体"/>
                <w:kern w:val="0"/>
                <w:sz w:val="24"/>
              </w:rPr>
              <w:t>大写 ：</w:t>
            </w:r>
            <w:r>
              <w:rPr>
                <w:rFonts w:hint="eastAsia" w:ascii="Times New Roman" w:hAnsi="Times New Roman" w:cs="宋体"/>
                <w:kern w:val="0"/>
                <w:sz w:val="24"/>
                <w:u w:val="single"/>
              </w:rPr>
              <w:t xml:space="preserve">              </w:t>
            </w:r>
            <w:r>
              <w:rPr>
                <w:rFonts w:hint="eastAsia" w:cs="宋体"/>
                <w:b/>
                <w:bCs/>
                <w:sz w:val="24"/>
              </w:rPr>
              <w:t>元/年</w:t>
            </w:r>
          </w:p>
          <w:p w14:paraId="160D878C">
            <w:pPr>
              <w:kinsoku w:val="0"/>
              <w:topLinePunct/>
              <w:snapToGrid w:val="0"/>
              <w:spacing w:line="360" w:lineRule="auto"/>
              <w:rPr>
                <w:rFonts w:ascii="Times New Roman" w:hAnsi="Times New Roman"/>
                <w:sz w:val="24"/>
              </w:rPr>
            </w:pPr>
            <w:r>
              <w:rPr>
                <w:rFonts w:hint="eastAsia" w:ascii="Times New Roman" w:hAnsi="Times New Roman" w:cs="宋体"/>
                <w:kern w:val="0"/>
                <w:sz w:val="24"/>
              </w:rPr>
              <w:t>小写 ：</w:t>
            </w:r>
            <w:r>
              <w:rPr>
                <w:rFonts w:hint="eastAsia" w:ascii="Times New Roman" w:hAnsi="Times New Roman" w:cs="宋体"/>
                <w:kern w:val="0"/>
                <w:sz w:val="24"/>
                <w:u w:val="single"/>
              </w:rPr>
              <w:t xml:space="preserve">              </w:t>
            </w:r>
            <w:r>
              <w:rPr>
                <w:rFonts w:hint="eastAsia" w:cs="宋体"/>
                <w:b/>
                <w:bCs/>
                <w:sz w:val="24"/>
              </w:rPr>
              <w:t>元/年</w:t>
            </w:r>
            <w:r>
              <w:rPr>
                <w:rFonts w:hint="eastAsia" w:ascii="Times New Roman" w:hAnsi="Times New Roman" w:cs="宋体"/>
                <w:kern w:val="0"/>
                <w:sz w:val="24"/>
              </w:rPr>
              <w:t xml:space="preserve">             </w:t>
            </w:r>
          </w:p>
        </w:tc>
        <w:tc>
          <w:tcPr>
            <w:tcW w:w="2835" w:type="dxa"/>
            <w:vMerge w:val="restart"/>
            <w:tcBorders>
              <w:top w:val="single" w:color="auto" w:sz="4" w:space="0"/>
              <w:left w:val="single" w:color="auto" w:sz="4" w:space="0"/>
              <w:right w:val="single" w:color="auto" w:sz="4" w:space="0"/>
            </w:tcBorders>
            <w:vAlign w:val="center"/>
          </w:tcPr>
          <w:p w14:paraId="56202F8E">
            <w:pPr>
              <w:kinsoku w:val="0"/>
              <w:topLinePunct/>
              <w:snapToGrid w:val="0"/>
              <w:spacing w:line="360" w:lineRule="auto"/>
              <w:jc w:val="center"/>
              <w:rPr>
                <w:rFonts w:ascii="Times New Roman" w:hAnsi="Times New Roman"/>
                <w:sz w:val="24"/>
              </w:rPr>
            </w:pPr>
            <w:r>
              <w:rPr>
                <w:rFonts w:hint="eastAsia" w:ascii="Times New Roman" w:hAnsi="Times New Roman"/>
                <w:sz w:val="24"/>
              </w:rPr>
              <w:t>2年</w:t>
            </w:r>
          </w:p>
        </w:tc>
      </w:tr>
      <w:tr w14:paraId="2387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1F61E9C">
            <w:pPr>
              <w:kinsoku w:val="0"/>
              <w:topLinePunct/>
              <w:snapToGrid w:val="0"/>
              <w:spacing w:line="360" w:lineRule="auto"/>
              <w:jc w:val="center"/>
              <w:rPr>
                <w:rFonts w:ascii="Times New Roman" w:hAnsi="Times New Roman"/>
                <w:bCs/>
                <w:sz w:val="24"/>
              </w:rPr>
            </w:pPr>
            <w:r>
              <w:rPr>
                <w:rFonts w:hint="eastAsia" w:ascii="Times New Roman" w:hAnsi="Times New Roman"/>
                <w:bCs/>
                <w:sz w:val="24"/>
              </w:rPr>
              <w:t>2</w:t>
            </w:r>
          </w:p>
        </w:tc>
        <w:tc>
          <w:tcPr>
            <w:tcW w:w="2126" w:type="dxa"/>
            <w:tcBorders>
              <w:top w:val="single" w:color="auto" w:sz="4" w:space="0"/>
              <w:left w:val="single" w:color="auto" w:sz="4" w:space="0"/>
              <w:bottom w:val="single" w:color="auto" w:sz="4" w:space="0"/>
              <w:right w:val="single" w:color="auto" w:sz="4" w:space="0"/>
            </w:tcBorders>
            <w:vAlign w:val="center"/>
          </w:tcPr>
          <w:p w14:paraId="226602B1">
            <w:pPr>
              <w:kinsoku w:val="0"/>
              <w:topLinePunct/>
              <w:snapToGrid w:val="0"/>
              <w:spacing w:line="360" w:lineRule="auto"/>
              <w:ind w:firstLine="480" w:firstLineChars="200"/>
              <w:rPr>
                <w:rFonts w:ascii="Times New Roman" w:hAnsi="Times New Roman"/>
                <w:bCs/>
                <w:sz w:val="24"/>
              </w:rPr>
            </w:pPr>
            <w:r>
              <w:rPr>
                <w:rFonts w:hint="eastAsia" w:ascii="Times New Roman" w:hAnsi="Times New Roman"/>
                <w:bCs/>
                <w:sz w:val="24"/>
              </w:rPr>
              <w:t>第二次</w:t>
            </w:r>
            <w:r>
              <w:rPr>
                <w:rFonts w:ascii="Times New Roman" w:hAnsi="Times New Roman"/>
                <w:bCs/>
                <w:sz w:val="24"/>
              </w:rPr>
              <w:t>报价</w:t>
            </w:r>
          </w:p>
        </w:tc>
        <w:tc>
          <w:tcPr>
            <w:tcW w:w="3828" w:type="dxa"/>
            <w:tcBorders>
              <w:top w:val="single" w:color="auto" w:sz="4" w:space="0"/>
              <w:left w:val="single" w:color="auto" w:sz="4" w:space="0"/>
              <w:bottom w:val="single" w:color="auto" w:sz="4" w:space="0"/>
              <w:right w:val="single" w:color="auto" w:sz="4" w:space="0"/>
            </w:tcBorders>
            <w:vAlign w:val="center"/>
          </w:tcPr>
          <w:p w14:paraId="42C177DA">
            <w:pPr>
              <w:spacing w:line="520" w:lineRule="exact"/>
              <w:textAlignment w:val="bottom"/>
              <w:rPr>
                <w:rFonts w:ascii="Times New Roman" w:hAnsi="Times New Roman" w:cs="宋体"/>
                <w:kern w:val="0"/>
                <w:sz w:val="24"/>
                <w:u w:val="single"/>
              </w:rPr>
            </w:pPr>
            <w:r>
              <w:rPr>
                <w:rFonts w:hint="eastAsia" w:ascii="Times New Roman" w:hAnsi="Times New Roman" w:cs="宋体"/>
                <w:kern w:val="0"/>
                <w:sz w:val="24"/>
              </w:rPr>
              <w:t>大写 ：</w:t>
            </w:r>
            <w:r>
              <w:rPr>
                <w:rFonts w:hint="eastAsia" w:ascii="Times New Roman" w:hAnsi="Times New Roman" w:cs="宋体"/>
                <w:kern w:val="0"/>
                <w:sz w:val="24"/>
                <w:u w:val="single"/>
              </w:rPr>
              <w:t xml:space="preserve">              </w:t>
            </w:r>
            <w:r>
              <w:rPr>
                <w:rFonts w:hint="eastAsia" w:cs="宋体"/>
                <w:b/>
                <w:bCs/>
                <w:sz w:val="24"/>
              </w:rPr>
              <w:t>元/年</w:t>
            </w:r>
          </w:p>
          <w:p w14:paraId="413232FC">
            <w:pPr>
              <w:kinsoku w:val="0"/>
              <w:topLinePunct/>
              <w:snapToGrid w:val="0"/>
              <w:spacing w:line="360" w:lineRule="auto"/>
              <w:rPr>
                <w:rFonts w:ascii="Times New Roman" w:hAnsi="Times New Roman"/>
                <w:sz w:val="24"/>
              </w:rPr>
            </w:pPr>
            <w:r>
              <w:rPr>
                <w:rFonts w:hint="eastAsia" w:ascii="Times New Roman" w:hAnsi="Times New Roman" w:cs="宋体"/>
                <w:kern w:val="0"/>
                <w:sz w:val="24"/>
              </w:rPr>
              <w:t>小写 ：</w:t>
            </w:r>
            <w:r>
              <w:rPr>
                <w:rFonts w:hint="eastAsia" w:ascii="Times New Roman" w:hAnsi="Times New Roman" w:cs="宋体"/>
                <w:kern w:val="0"/>
                <w:sz w:val="24"/>
                <w:u w:val="single"/>
              </w:rPr>
              <w:t xml:space="preserve">              </w:t>
            </w:r>
            <w:r>
              <w:rPr>
                <w:rFonts w:hint="eastAsia" w:cs="宋体"/>
                <w:b/>
                <w:bCs/>
                <w:sz w:val="24"/>
              </w:rPr>
              <w:t>元/年</w:t>
            </w:r>
          </w:p>
        </w:tc>
        <w:tc>
          <w:tcPr>
            <w:tcW w:w="2835" w:type="dxa"/>
            <w:vMerge w:val="continue"/>
            <w:tcBorders>
              <w:left w:val="single" w:color="auto" w:sz="4" w:space="0"/>
              <w:bottom w:val="single" w:color="auto" w:sz="4" w:space="0"/>
              <w:right w:val="single" w:color="auto" w:sz="4" w:space="0"/>
            </w:tcBorders>
            <w:vAlign w:val="center"/>
          </w:tcPr>
          <w:p w14:paraId="47113786">
            <w:pPr>
              <w:kinsoku w:val="0"/>
              <w:topLinePunct/>
              <w:snapToGrid w:val="0"/>
              <w:spacing w:line="360" w:lineRule="auto"/>
              <w:ind w:firstLine="480" w:firstLineChars="200"/>
              <w:rPr>
                <w:rFonts w:ascii="Times New Roman" w:hAnsi="Times New Roman"/>
                <w:sz w:val="24"/>
              </w:rPr>
            </w:pPr>
          </w:p>
        </w:tc>
      </w:tr>
    </w:tbl>
    <w:p w14:paraId="1E6A9BA3">
      <w:pPr>
        <w:kinsoku w:val="0"/>
        <w:topLinePunct/>
        <w:snapToGrid w:val="0"/>
        <w:spacing w:line="360" w:lineRule="auto"/>
        <w:ind w:firstLine="480" w:firstLineChars="200"/>
        <w:rPr>
          <w:rFonts w:ascii="Times New Roman" w:hAnsi="Times New Roman"/>
          <w:sz w:val="24"/>
        </w:rPr>
      </w:pPr>
      <w:r>
        <w:rPr>
          <w:rFonts w:hint="eastAsia" w:ascii="Times New Roman" w:hAnsi="Times New Roman"/>
          <w:sz w:val="24"/>
        </w:rPr>
        <w:t>投标人：（盖章）</w:t>
      </w:r>
    </w:p>
    <w:p w14:paraId="7EF16ADB">
      <w:pPr>
        <w:kinsoku w:val="0"/>
        <w:topLinePunct/>
        <w:snapToGrid w:val="0"/>
        <w:spacing w:line="360" w:lineRule="auto"/>
        <w:ind w:firstLine="480" w:firstLineChars="200"/>
        <w:rPr>
          <w:rFonts w:ascii="Times New Roman" w:hAnsi="Times New Roman"/>
          <w:sz w:val="24"/>
        </w:rPr>
      </w:pPr>
      <w:r>
        <w:rPr>
          <w:rFonts w:hint="eastAsia" w:ascii="Times New Roman" w:hAnsi="Times New Roman"/>
          <w:sz w:val="24"/>
        </w:rPr>
        <w:t>法定代表人或被授权人（签字）：</w:t>
      </w:r>
    </w:p>
    <w:p w14:paraId="2EA24526">
      <w:pPr>
        <w:kinsoku w:val="0"/>
        <w:topLinePunct/>
        <w:snapToGrid w:val="0"/>
        <w:spacing w:line="360" w:lineRule="auto"/>
        <w:ind w:firstLine="480" w:firstLineChars="200"/>
        <w:rPr>
          <w:rFonts w:ascii="Times New Roman" w:hAnsi="Times New Roman"/>
          <w:sz w:val="24"/>
        </w:rPr>
      </w:pPr>
      <w:r>
        <w:rPr>
          <w:rFonts w:hint="eastAsia" w:ascii="Times New Roman" w:hAnsi="Times New Roman"/>
          <w:sz w:val="24"/>
        </w:rPr>
        <w:t>日期：</w:t>
      </w:r>
    </w:p>
    <w:p w14:paraId="2185D9E3">
      <w:pPr>
        <w:kinsoku w:val="0"/>
        <w:topLinePunct/>
        <w:snapToGrid w:val="0"/>
        <w:spacing w:line="360" w:lineRule="auto"/>
        <w:ind w:firstLine="482" w:firstLineChars="200"/>
        <w:rPr>
          <w:rFonts w:ascii="Times New Roman" w:hAnsi="Times New Roman"/>
          <w:b/>
          <w:sz w:val="24"/>
        </w:rPr>
      </w:pPr>
    </w:p>
    <w:p w14:paraId="2D304A7D">
      <w:pPr>
        <w:kinsoku w:val="0"/>
        <w:topLinePunct/>
        <w:snapToGrid w:val="0"/>
        <w:spacing w:line="360" w:lineRule="auto"/>
        <w:ind w:firstLine="482" w:firstLineChars="200"/>
        <w:rPr>
          <w:rFonts w:ascii="Times New Roman" w:hAnsi="Times New Roman"/>
          <w:b/>
          <w:sz w:val="24"/>
        </w:rPr>
      </w:pPr>
      <w:r>
        <w:rPr>
          <w:rFonts w:hint="eastAsia" w:ascii="Times New Roman" w:hAnsi="Times New Roman"/>
          <w:b/>
          <w:sz w:val="24"/>
        </w:rPr>
        <w:t>注：</w:t>
      </w:r>
    </w:p>
    <w:p w14:paraId="7347D697">
      <w:pPr>
        <w:tabs>
          <w:tab w:val="left" w:pos="340"/>
        </w:tabs>
        <w:kinsoku w:val="0"/>
        <w:topLinePunct/>
        <w:snapToGrid w:val="0"/>
        <w:spacing w:line="360" w:lineRule="auto"/>
        <w:ind w:firstLine="480" w:firstLineChars="200"/>
        <w:rPr>
          <w:rFonts w:ascii="Times New Roman" w:hAnsi="Times New Roman" w:cs="宋体"/>
          <w:sz w:val="24"/>
        </w:rPr>
      </w:pPr>
      <w:r>
        <w:rPr>
          <w:rFonts w:hint="eastAsia" w:ascii="Times New Roman" w:hAnsi="Times New Roman"/>
          <w:sz w:val="24"/>
        </w:rPr>
        <w:t>（1）</w:t>
      </w:r>
      <w:r>
        <w:rPr>
          <w:rFonts w:ascii="Times New Roman" w:hAnsi="Times New Roman"/>
          <w:sz w:val="24"/>
        </w:rPr>
        <w:t>本表</w:t>
      </w:r>
      <w:r>
        <w:rPr>
          <w:rFonts w:hint="eastAsia" w:ascii="Times New Roman" w:hAnsi="Times New Roman"/>
          <w:sz w:val="24"/>
        </w:rPr>
        <w:t>为格式表</w:t>
      </w:r>
      <w:r>
        <w:rPr>
          <w:rFonts w:ascii="Times New Roman" w:hAnsi="Times New Roman"/>
          <w:sz w:val="24"/>
        </w:rPr>
        <w:t>，</w:t>
      </w:r>
      <w:r>
        <w:rPr>
          <w:rFonts w:hint="eastAsia" w:ascii="Times New Roman" w:hAnsi="Times New Roman"/>
          <w:sz w:val="24"/>
        </w:rPr>
        <w:t>不得自行改动，必须提供</w:t>
      </w:r>
      <w:r>
        <w:rPr>
          <w:rFonts w:ascii="Times New Roman" w:hAnsi="Times New Roman"/>
          <w:sz w:val="24"/>
        </w:rPr>
        <w:t>。</w:t>
      </w:r>
    </w:p>
    <w:p w14:paraId="431320B9">
      <w:pPr>
        <w:kinsoku w:val="0"/>
        <w:topLinePunct/>
        <w:snapToGrid w:val="0"/>
        <w:spacing w:line="360" w:lineRule="auto"/>
        <w:ind w:firstLine="480" w:firstLineChars="200"/>
        <w:rPr>
          <w:rFonts w:ascii="Times New Roman" w:hAnsi="Times New Roman"/>
          <w:sz w:val="24"/>
        </w:rPr>
      </w:pPr>
      <w:r>
        <w:rPr>
          <w:rFonts w:hint="eastAsia" w:ascii="Times New Roman" w:hAnsi="Times New Roman"/>
          <w:sz w:val="24"/>
        </w:rPr>
        <w:t>（2）磋商总报价应包含但不限于如人工、</w:t>
      </w:r>
      <w:r>
        <w:rPr>
          <w:rFonts w:hint="eastAsia" w:ascii="Times New Roman" w:hAnsi="Times New Roman" w:cs="宋体"/>
          <w:bCs/>
          <w:sz w:val="24"/>
        </w:rPr>
        <w:t>差旅费、人员费、交通费、</w:t>
      </w:r>
      <w:r>
        <w:rPr>
          <w:rFonts w:hint="eastAsia" w:ascii="Times New Roman" w:hAnsi="Times New Roman" w:cs="宋体"/>
          <w:sz w:val="24"/>
        </w:rPr>
        <w:t>咨询费、技术支持与培训、</w:t>
      </w:r>
      <w:r>
        <w:rPr>
          <w:rFonts w:hint="eastAsia" w:ascii="Times New Roman" w:hAnsi="Times New Roman" w:cs="宋体"/>
          <w:bCs/>
          <w:sz w:val="24"/>
        </w:rPr>
        <w:t>食宿费、税金及相关劳务支出等工作所发生的全部费用以及投标人企业利润和政策性文件规定及合同包含的所有风险、责任，即响应磋商项目服务中的全部工作量和服务及完成本项目工作所需的一切费用。</w:t>
      </w:r>
      <w:r>
        <w:rPr>
          <w:rFonts w:hint="eastAsia" w:ascii="Times New Roman" w:hAnsi="仿宋"/>
          <w:bCs/>
          <w:sz w:val="24"/>
        </w:rPr>
        <w:t>因案件办理确需离开南通市范围的，律师的交通费、住宿费由采购人承担，凭票报销结算。提供法律服务过程中所需的鉴定费、翻译费、查询费由采购人承担</w:t>
      </w:r>
      <w:r>
        <w:rPr>
          <w:rFonts w:hint="eastAsia" w:ascii="Times New Roman" w:hAnsi="Times New Roman"/>
          <w:sz w:val="24"/>
        </w:rPr>
        <w:t>。</w:t>
      </w:r>
    </w:p>
    <w:p w14:paraId="5A66130D">
      <w:pPr>
        <w:kinsoku w:val="0"/>
        <w:topLinePunct/>
        <w:snapToGrid w:val="0"/>
        <w:spacing w:line="360" w:lineRule="auto"/>
        <w:ind w:firstLine="480" w:firstLineChars="200"/>
        <w:rPr>
          <w:rFonts w:ascii="Times New Roman" w:hAnsi="Times New Roman"/>
          <w:sz w:val="24"/>
        </w:rPr>
      </w:pPr>
      <w:r>
        <w:rPr>
          <w:rFonts w:hint="eastAsia" w:ascii="Times New Roman" w:hAnsi="Times New Roman"/>
          <w:sz w:val="24"/>
        </w:rPr>
        <w:t>（3）磋商报价在合同执行期间是固定不变和不可变更的，不因市场变化因素而变动，供应商在计算报价时应考虑风险因素。</w:t>
      </w:r>
    </w:p>
    <w:p w14:paraId="63D5128F">
      <w:pPr>
        <w:kinsoku w:val="0"/>
        <w:topLinePunct/>
        <w:snapToGrid w:val="0"/>
        <w:spacing w:line="360" w:lineRule="auto"/>
        <w:ind w:firstLine="482" w:firstLineChars="200"/>
        <w:rPr>
          <w:rFonts w:ascii="Times New Roman" w:hAnsi="Times New Roman"/>
          <w:b/>
          <w:sz w:val="24"/>
        </w:rPr>
      </w:pPr>
      <w:r>
        <w:rPr>
          <w:rFonts w:hint="eastAsia" w:ascii="Times New Roman" w:hAnsi="Times New Roman"/>
          <w:b/>
          <w:sz w:val="24"/>
        </w:rPr>
        <w:t>注：第二次报价将在开标现场填写，响应文件密封提交时只需填写磋商报价（首次）。</w:t>
      </w:r>
    </w:p>
    <w:p w14:paraId="172B2159">
      <w:pPr>
        <w:widowControl/>
        <w:jc w:val="left"/>
        <w:rPr>
          <w:rFonts w:ascii="Times New Roman" w:hAnsi="Times New Roman"/>
        </w:rPr>
      </w:pPr>
      <w:r>
        <w:rPr>
          <w:rFonts w:ascii="Times New Roman" w:hAnsi="Times New Roman"/>
        </w:rPr>
        <w:br w:type="page"/>
      </w:r>
    </w:p>
    <w:p w14:paraId="3B020112">
      <w:pPr>
        <w:kinsoku w:val="0"/>
        <w:topLinePunct/>
        <w:snapToGrid w:val="0"/>
        <w:spacing w:line="360" w:lineRule="auto"/>
        <w:ind w:firstLine="562" w:firstLineChars="200"/>
        <w:jc w:val="center"/>
        <w:rPr>
          <w:rFonts w:ascii="Times New Roman" w:hAnsi="Times New Roman"/>
          <w:b/>
          <w:sz w:val="28"/>
          <w:szCs w:val="28"/>
        </w:rPr>
      </w:pPr>
      <w:r>
        <w:rPr>
          <w:rFonts w:hint="eastAsia" w:ascii="Times New Roman" w:hAnsi="Times New Roman"/>
          <w:b/>
          <w:sz w:val="28"/>
          <w:szCs w:val="28"/>
        </w:rPr>
        <w:t>8、报名函</w:t>
      </w:r>
    </w:p>
    <w:p w14:paraId="7507AE20">
      <w:pPr>
        <w:adjustRightInd w:val="0"/>
        <w:snapToGrid w:val="0"/>
        <w:spacing w:line="480" w:lineRule="auto"/>
        <w:rPr>
          <w:rFonts w:ascii="Times New Roman" w:hAnsi="Times New Roman" w:cs="宋体"/>
          <w:snapToGrid w:val="0"/>
          <w:kern w:val="0"/>
          <w:sz w:val="24"/>
        </w:rPr>
      </w:pPr>
      <w:r>
        <w:rPr>
          <w:rFonts w:hint="eastAsia" w:ascii="Times New Roman" w:hAnsi="Times New Roman"/>
          <w:sz w:val="24"/>
          <w:u w:val="single"/>
        </w:rPr>
        <w:t>南通市医疗保障局</w:t>
      </w:r>
      <w:r>
        <w:rPr>
          <w:rFonts w:hint="eastAsia" w:ascii="Times New Roman" w:hAnsi="Times New Roman" w:cs="宋体"/>
          <w:snapToGrid w:val="0"/>
          <w:kern w:val="0"/>
          <w:sz w:val="24"/>
        </w:rPr>
        <w:t>：</w:t>
      </w:r>
    </w:p>
    <w:p w14:paraId="51418C89">
      <w:pPr>
        <w:spacing w:line="480" w:lineRule="auto"/>
        <w:ind w:left="374" w:leftChars="178" w:firstLine="600" w:firstLineChars="250"/>
        <w:rPr>
          <w:rFonts w:ascii="Times New Roman" w:hAnsi="Times New Roman" w:cs="宋体"/>
          <w:snapToGrid w:val="0"/>
          <w:kern w:val="0"/>
          <w:sz w:val="24"/>
        </w:rPr>
      </w:pPr>
      <w:r>
        <w:rPr>
          <w:rFonts w:hint="eastAsia" w:ascii="Times New Roman" w:hAnsi="Times New Roman" w:cs="宋体"/>
          <w:snapToGrid w:val="0"/>
          <w:kern w:val="0"/>
          <w:sz w:val="24"/>
        </w:rPr>
        <w:t>贵单位的磋商文件我单位已从南通市医疗保障局网下载。我单位报名参与</w:t>
      </w:r>
      <w:r>
        <w:rPr>
          <w:rFonts w:hint="eastAsia" w:ascii="Times New Roman" w:hAnsi="Times New Roman" w:cs="宋体"/>
          <w:snapToGrid w:val="0"/>
          <w:kern w:val="0"/>
          <w:sz w:val="24"/>
          <w:u w:val="single"/>
        </w:rPr>
        <w:t>（项目名称）</w:t>
      </w:r>
      <w:r>
        <w:rPr>
          <w:rFonts w:hint="eastAsia" w:ascii="Times New Roman" w:hAnsi="Times New Roman" w:cs="宋体"/>
          <w:snapToGrid w:val="0"/>
          <w:kern w:val="0"/>
          <w:sz w:val="24"/>
        </w:rPr>
        <w:t>项目的磋商。</w:t>
      </w:r>
    </w:p>
    <w:p w14:paraId="7376B37F">
      <w:pPr>
        <w:adjustRightInd w:val="0"/>
        <w:snapToGrid w:val="0"/>
        <w:spacing w:line="480" w:lineRule="auto"/>
        <w:rPr>
          <w:rFonts w:ascii="Times New Roman" w:hAnsi="Times New Roman" w:cs="宋体"/>
          <w:snapToGrid w:val="0"/>
          <w:kern w:val="0"/>
          <w:sz w:val="24"/>
        </w:rPr>
      </w:pPr>
    </w:p>
    <w:p w14:paraId="16F7878A">
      <w:pPr>
        <w:adjustRightInd w:val="0"/>
        <w:snapToGrid w:val="0"/>
        <w:spacing w:line="480" w:lineRule="auto"/>
        <w:rPr>
          <w:rFonts w:ascii="Times New Roman" w:hAnsi="Times New Roman" w:cs="宋体"/>
          <w:snapToGrid w:val="0"/>
          <w:kern w:val="0"/>
          <w:sz w:val="24"/>
        </w:rPr>
      </w:pPr>
    </w:p>
    <w:p w14:paraId="4D0168AC">
      <w:pPr>
        <w:adjustRightInd w:val="0"/>
        <w:snapToGrid w:val="0"/>
        <w:spacing w:line="480" w:lineRule="auto"/>
        <w:rPr>
          <w:rFonts w:ascii="Times New Roman" w:hAnsi="Times New Roman" w:cs="宋体"/>
          <w:snapToGrid w:val="0"/>
          <w:kern w:val="0"/>
          <w:sz w:val="24"/>
        </w:rPr>
      </w:pPr>
      <w:r>
        <w:rPr>
          <w:rFonts w:hint="eastAsia" w:ascii="Times New Roman" w:hAnsi="Times New Roman" w:cs="宋体"/>
          <w:snapToGrid w:val="0"/>
          <w:kern w:val="0"/>
          <w:sz w:val="24"/>
        </w:rPr>
        <w:t>报名单位：(盖公章)</w:t>
      </w:r>
    </w:p>
    <w:p w14:paraId="0146898D">
      <w:pPr>
        <w:adjustRightInd w:val="0"/>
        <w:snapToGrid w:val="0"/>
        <w:spacing w:line="480" w:lineRule="auto"/>
        <w:rPr>
          <w:rFonts w:ascii="Times New Roman" w:hAnsi="Times New Roman" w:cs="宋体"/>
          <w:snapToGrid w:val="0"/>
          <w:kern w:val="0"/>
          <w:sz w:val="24"/>
        </w:rPr>
      </w:pPr>
    </w:p>
    <w:p w14:paraId="227F7EE7">
      <w:pPr>
        <w:adjustRightInd w:val="0"/>
        <w:snapToGrid w:val="0"/>
        <w:spacing w:line="480" w:lineRule="auto"/>
        <w:rPr>
          <w:rFonts w:ascii="Times New Roman" w:hAnsi="Times New Roman" w:cs="宋体"/>
          <w:snapToGrid w:val="0"/>
          <w:kern w:val="0"/>
          <w:sz w:val="24"/>
          <w:u w:val="single"/>
        </w:rPr>
      </w:pPr>
      <w:r>
        <w:rPr>
          <w:rFonts w:hint="eastAsia" w:ascii="Times New Roman" w:hAnsi="Times New Roman" w:cs="宋体"/>
          <w:snapToGrid w:val="0"/>
          <w:kern w:val="0"/>
          <w:sz w:val="24"/>
        </w:rPr>
        <w:t>联系人：电话：</w:t>
      </w:r>
    </w:p>
    <w:p w14:paraId="5E6EFE04">
      <w:pPr>
        <w:adjustRightInd w:val="0"/>
        <w:snapToGrid w:val="0"/>
        <w:spacing w:line="480" w:lineRule="auto"/>
        <w:ind w:firstLine="600" w:firstLineChars="250"/>
        <w:rPr>
          <w:rFonts w:ascii="Times New Roman" w:hAnsi="Times New Roman" w:cs="宋体"/>
          <w:snapToGrid w:val="0"/>
          <w:kern w:val="0"/>
          <w:sz w:val="24"/>
        </w:rPr>
      </w:pPr>
      <w:r>
        <w:rPr>
          <w:rFonts w:hint="eastAsia" w:ascii="Times New Roman" w:hAnsi="Times New Roman" w:cs="宋体"/>
          <w:snapToGrid w:val="0"/>
          <w:kern w:val="0"/>
          <w:sz w:val="24"/>
        </w:rPr>
        <w:t>年月日</w:t>
      </w:r>
    </w:p>
    <w:p w14:paraId="59A8B2A8">
      <w:pPr>
        <w:tabs>
          <w:tab w:val="left" w:pos="5250"/>
        </w:tabs>
        <w:rPr>
          <w:rFonts w:ascii="Times New Roman" w:hAnsi="Times New Roman" w:cs="宋体"/>
          <w:sz w:val="24"/>
        </w:rPr>
      </w:pPr>
    </w:p>
    <w:p w14:paraId="7601258D">
      <w:pPr>
        <w:tabs>
          <w:tab w:val="left" w:pos="5250"/>
        </w:tabs>
        <w:rPr>
          <w:rFonts w:ascii="Times New Roman" w:hAnsi="Times New Roman" w:cs="宋体"/>
          <w:sz w:val="24"/>
        </w:rPr>
      </w:pPr>
    </w:p>
    <w:p w14:paraId="41F619F7">
      <w:pPr>
        <w:tabs>
          <w:tab w:val="left" w:pos="5250"/>
        </w:tabs>
        <w:rPr>
          <w:rFonts w:ascii="Times New Roman" w:hAnsi="Times New Roman" w:cs="宋体"/>
          <w:sz w:val="24"/>
        </w:rPr>
      </w:pPr>
    </w:p>
    <w:p w14:paraId="11D140F9">
      <w:pPr>
        <w:snapToGrid w:val="0"/>
        <w:spacing w:line="440" w:lineRule="exact"/>
        <w:ind w:firstLine="480" w:firstLineChars="200"/>
        <w:rPr>
          <w:rFonts w:ascii="Times New Roman" w:hAnsi="Times New Roman" w:cs="宋体"/>
          <w:snapToGrid w:val="0"/>
          <w:kern w:val="0"/>
          <w:sz w:val="24"/>
        </w:rPr>
      </w:pPr>
      <w:r>
        <w:rPr>
          <w:rFonts w:hint="eastAsia" w:ascii="Times New Roman" w:hAnsi="Times New Roman" w:cs="宋体"/>
          <w:snapToGrid w:val="0"/>
          <w:kern w:val="0"/>
          <w:sz w:val="24"/>
        </w:rPr>
        <w:t>注：</w:t>
      </w:r>
    </w:p>
    <w:p w14:paraId="1046ADF0">
      <w:pPr>
        <w:snapToGrid w:val="0"/>
        <w:spacing w:line="440" w:lineRule="exact"/>
        <w:ind w:firstLine="480" w:firstLineChars="200"/>
        <w:rPr>
          <w:rFonts w:ascii="Times New Roman" w:hAnsi="Times New Roman" w:cs="宋体"/>
          <w:snapToGrid w:val="0"/>
          <w:kern w:val="0"/>
          <w:sz w:val="24"/>
        </w:rPr>
      </w:pPr>
      <w:r>
        <w:rPr>
          <w:rFonts w:hint="eastAsia" w:ascii="Times New Roman" w:hAnsi="Times New Roman" w:cs="宋体"/>
          <w:snapToGrid w:val="0"/>
          <w:kern w:val="0"/>
          <w:sz w:val="24"/>
        </w:rPr>
        <w:t>（1）报名单位请在磋商文件规定的时间内将此报名函盖章将扫描件发送至邮箱：812298892@qq.com。</w:t>
      </w:r>
    </w:p>
    <w:p w14:paraId="2B482639">
      <w:pPr>
        <w:snapToGrid w:val="0"/>
        <w:spacing w:line="440" w:lineRule="exact"/>
        <w:ind w:firstLine="480" w:firstLineChars="200"/>
        <w:rPr>
          <w:rFonts w:ascii="Times New Roman" w:hAnsi="Times New Roman"/>
          <w:snapToGrid w:val="0"/>
          <w:kern w:val="0"/>
          <w:sz w:val="24"/>
        </w:rPr>
      </w:pPr>
      <w:r>
        <w:rPr>
          <w:rFonts w:hint="eastAsia" w:ascii="Times New Roman" w:hAnsi="Times New Roman" w:cs="宋体"/>
          <w:snapToGrid w:val="0"/>
          <w:kern w:val="0"/>
          <w:sz w:val="24"/>
        </w:rPr>
        <w:t>（2）未按时间要求报名的供应商不得参与本项目磋商。</w:t>
      </w:r>
    </w:p>
    <w:p w14:paraId="47EFCF8D">
      <w:pPr>
        <w:snapToGrid w:val="0"/>
        <w:spacing w:line="400" w:lineRule="exact"/>
        <w:rPr>
          <w:rFonts w:ascii="Times New Roman" w:hAnsi="Times New Roman" w:cs="宋体"/>
          <w:sz w:val="24"/>
        </w:rPr>
      </w:pPr>
    </w:p>
    <w:p w14:paraId="11573936">
      <w:pPr>
        <w:kinsoku w:val="0"/>
        <w:topLinePunct/>
        <w:snapToGrid w:val="0"/>
        <w:spacing w:line="360" w:lineRule="auto"/>
        <w:rPr>
          <w:rFonts w:ascii="Times New Roman" w:hAnsi="Times New Roman"/>
        </w:rPr>
      </w:pPr>
    </w:p>
    <w:sectPr>
      <w:headerReference r:id="rId3" w:type="default"/>
      <w:footerReference r:id="rId4" w:type="default"/>
      <w:pgSz w:w="11906" w:h="16838"/>
      <w:pgMar w:top="158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
    <w:altName w:val="宋体"/>
    <w:panose1 w:val="020B06040202020202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8427">
    <w:pPr>
      <w:pStyle w:val="16"/>
      <w:jc w:val="center"/>
    </w:pPr>
    <w:r>
      <w:fldChar w:fldCharType="begin"/>
    </w:r>
    <w:r>
      <w:instrText xml:space="preserve"> PAGE   \* MERGEFORMAT </w:instrText>
    </w:r>
    <w:r>
      <w:fldChar w:fldCharType="separate"/>
    </w:r>
    <w:r>
      <w:rPr>
        <w:lang w:val="zh-CN"/>
      </w:rPr>
      <w:t>1</w:t>
    </w:r>
    <w:r>
      <w:rPr>
        <w:lang w:val="zh-CN"/>
      </w:rPr>
      <w:fldChar w:fldCharType="end"/>
    </w:r>
  </w:p>
  <w:p w14:paraId="3B11A2D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249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1AFF4"/>
    <w:multiLevelType w:val="singleLevel"/>
    <w:tmpl w:val="D471AFF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3F"/>
    <w:rsid w:val="00001B36"/>
    <w:rsid w:val="00003EA0"/>
    <w:rsid w:val="00005551"/>
    <w:rsid w:val="0001293B"/>
    <w:rsid w:val="000131C4"/>
    <w:rsid w:val="00013E78"/>
    <w:rsid w:val="00015C31"/>
    <w:rsid w:val="00015D27"/>
    <w:rsid w:val="00023BEF"/>
    <w:rsid w:val="0003333A"/>
    <w:rsid w:val="000334DF"/>
    <w:rsid w:val="00040364"/>
    <w:rsid w:val="00040A36"/>
    <w:rsid w:val="00040CCB"/>
    <w:rsid w:val="00045C98"/>
    <w:rsid w:val="00056C6B"/>
    <w:rsid w:val="00057FD9"/>
    <w:rsid w:val="0006079D"/>
    <w:rsid w:val="00061729"/>
    <w:rsid w:val="0006325A"/>
    <w:rsid w:val="00064155"/>
    <w:rsid w:val="000653C0"/>
    <w:rsid w:val="00070072"/>
    <w:rsid w:val="0007166E"/>
    <w:rsid w:val="00071877"/>
    <w:rsid w:val="000719EC"/>
    <w:rsid w:val="00075B44"/>
    <w:rsid w:val="000777BC"/>
    <w:rsid w:val="00081F36"/>
    <w:rsid w:val="00084268"/>
    <w:rsid w:val="000961A6"/>
    <w:rsid w:val="00096BCC"/>
    <w:rsid w:val="000A65CF"/>
    <w:rsid w:val="000B027C"/>
    <w:rsid w:val="000B32B3"/>
    <w:rsid w:val="000B3994"/>
    <w:rsid w:val="000C23C7"/>
    <w:rsid w:val="000C26BA"/>
    <w:rsid w:val="000C30A8"/>
    <w:rsid w:val="000C42A2"/>
    <w:rsid w:val="000D4DCB"/>
    <w:rsid w:val="000D55E6"/>
    <w:rsid w:val="000D5C0F"/>
    <w:rsid w:val="000E4DFE"/>
    <w:rsid w:val="000E6BB6"/>
    <w:rsid w:val="000F013F"/>
    <w:rsid w:val="000F3091"/>
    <w:rsid w:val="00104B11"/>
    <w:rsid w:val="00107555"/>
    <w:rsid w:val="0011267D"/>
    <w:rsid w:val="00113D0C"/>
    <w:rsid w:val="001169E9"/>
    <w:rsid w:val="00120963"/>
    <w:rsid w:val="0012349A"/>
    <w:rsid w:val="00124574"/>
    <w:rsid w:val="0012631E"/>
    <w:rsid w:val="00130D25"/>
    <w:rsid w:val="00141234"/>
    <w:rsid w:val="001437B6"/>
    <w:rsid w:val="00143C1E"/>
    <w:rsid w:val="0014587A"/>
    <w:rsid w:val="0016083B"/>
    <w:rsid w:val="00162C6C"/>
    <w:rsid w:val="00175CD4"/>
    <w:rsid w:val="0018135D"/>
    <w:rsid w:val="00187AEF"/>
    <w:rsid w:val="0019313C"/>
    <w:rsid w:val="00193E8B"/>
    <w:rsid w:val="001948A9"/>
    <w:rsid w:val="00195855"/>
    <w:rsid w:val="00195AD1"/>
    <w:rsid w:val="001A0210"/>
    <w:rsid w:val="001A2C60"/>
    <w:rsid w:val="001A564F"/>
    <w:rsid w:val="001A7FBA"/>
    <w:rsid w:val="001B4771"/>
    <w:rsid w:val="001B51B8"/>
    <w:rsid w:val="001C0EFB"/>
    <w:rsid w:val="001C3375"/>
    <w:rsid w:val="001C6CC6"/>
    <w:rsid w:val="001C710D"/>
    <w:rsid w:val="001C79AA"/>
    <w:rsid w:val="001C7D08"/>
    <w:rsid w:val="001D16A8"/>
    <w:rsid w:val="001D54B1"/>
    <w:rsid w:val="001D62C3"/>
    <w:rsid w:val="001D6F16"/>
    <w:rsid w:val="001E37F0"/>
    <w:rsid w:val="001E3F84"/>
    <w:rsid w:val="001E7262"/>
    <w:rsid w:val="001F032D"/>
    <w:rsid w:val="001F114E"/>
    <w:rsid w:val="001F4834"/>
    <w:rsid w:val="001F54A6"/>
    <w:rsid w:val="001F54FD"/>
    <w:rsid w:val="00202355"/>
    <w:rsid w:val="002026CF"/>
    <w:rsid w:val="00203878"/>
    <w:rsid w:val="00205665"/>
    <w:rsid w:val="00214EC8"/>
    <w:rsid w:val="00216FFB"/>
    <w:rsid w:val="00223E25"/>
    <w:rsid w:val="0022714B"/>
    <w:rsid w:val="00227863"/>
    <w:rsid w:val="00230071"/>
    <w:rsid w:val="00230716"/>
    <w:rsid w:val="00230907"/>
    <w:rsid w:val="002324D8"/>
    <w:rsid w:val="00233FB4"/>
    <w:rsid w:val="00235F2C"/>
    <w:rsid w:val="00243FD7"/>
    <w:rsid w:val="002441FA"/>
    <w:rsid w:val="0024688C"/>
    <w:rsid w:val="002468A1"/>
    <w:rsid w:val="00247EAA"/>
    <w:rsid w:val="00251580"/>
    <w:rsid w:val="00252A05"/>
    <w:rsid w:val="00254450"/>
    <w:rsid w:val="00254C1C"/>
    <w:rsid w:val="002644E3"/>
    <w:rsid w:val="00265D6F"/>
    <w:rsid w:val="00266D68"/>
    <w:rsid w:val="00270058"/>
    <w:rsid w:val="00271B04"/>
    <w:rsid w:val="002800CA"/>
    <w:rsid w:val="002873CE"/>
    <w:rsid w:val="00291981"/>
    <w:rsid w:val="002966D6"/>
    <w:rsid w:val="002A2F08"/>
    <w:rsid w:val="002A431C"/>
    <w:rsid w:val="002A5E36"/>
    <w:rsid w:val="002B2D67"/>
    <w:rsid w:val="002B4E1B"/>
    <w:rsid w:val="002B59F5"/>
    <w:rsid w:val="002B6FD5"/>
    <w:rsid w:val="002C75A2"/>
    <w:rsid w:val="002D5D47"/>
    <w:rsid w:val="002D7EAB"/>
    <w:rsid w:val="002E460C"/>
    <w:rsid w:val="002E563A"/>
    <w:rsid w:val="002F09FE"/>
    <w:rsid w:val="00303176"/>
    <w:rsid w:val="003056E1"/>
    <w:rsid w:val="00310E0B"/>
    <w:rsid w:val="00311866"/>
    <w:rsid w:val="00311BF5"/>
    <w:rsid w:val="003229BE"/>
    <w:rsid w:val="00327D17"/>
    <w:rsid w:val="003312E0"/>
    <w:rsid w:val="00334B80"/>
    <w:rsid w:val="0035690B"/>
    <w:rsid w:val="00356C91"/>
    <w:rsid w:val="0035780E"/>
    <w:rsid w:val="00360067"/>
    <w:rsid w:val="00360ACB"/>
    <w:rsid w:val="00364499"/>
    <w:rsid w:val="003712CA"/>
    <w:rsid w:val="00372115"/>
    <w:rsid w:val="003817F6"/>
    <w:rsid w:val="00385505"/>
    <w:rsid w:val="003874D8"/>
    <w:rsid w:val="00392A22"/>
    <w:rsid w:val="00396DAB"/>
    <w:rsid w:val="003976D8"/>
    <w:rsid w:val="003A481A"/>
    <w:rsid w:val="003A7624"/>
    <w:rsid w:val="003B0499"/>
    <w:rsid w:val="003B0FD2"/>
    <w:rsid w:val="003B3ED9"/>
    <w:rsid w:val="003B4B30"/>
    <w:rsid w:val="003C0F63"/>
    <w:rsid w:val="003C10E1"/>
    <w:rsid w:val="003C1531"/>
    <w:rsid w:val="003C3D9F"/>
    <w:rsid w:val="003C52B6"/>
    <w:rsid w:val="003C7866"/>
    <w:rsid w:val="003E5EE1"/>
    <w:rsid w:val="0040068C"/>
    <w:rsid w:val="004101F4"/>
    <w:rsid w:val="00412F45"/>
    <w:rsid w:val="00414821"/>
    <w:rsid w:val="00415526"/>
    <w:rsid w:val="00415AA4"/>
    <w:rsid w:val="0042513C"/>
    <w:rsid w:val="004328FD"/>
    <w:rsid w:val="00442071"/>
    <w:rsid w:val="004443DB"/>
    <w:rsid w:val="004445A1"/>
    <w:rsid w:val="004447D5"/>
    <w:rsid w:val="00447660"/>
    <w:rsid w:val="00450CF4"/>
    <w:rsid w:val="004523D5"/>
    <w:rsid w:val="00452D28"/>
    <w:rsid w:val="00454EAA"/>
    <w:rsid w:val="0045695C"/>
    <w:rsid w:val="00460E61"/>
    <w:rsid w:val="00461F3E"/>
    <w:rsid w:val="004632D0"/>
    <w:rsid w:val="004729A8"/>
    <w:rsid w:val="0047638D"/>
    <w:rsid w:val="00483385"/>
    <w:rsid w:val="004864D3"/>
    <w:rsid w:val="00494A8F"/>
    <w:rsid w:val="00495166"/>
    <w:rsid w:val="0049626C"/>
    <w:rsid w:val="004A2430"/>
    <w:rsid w:val="004A307D"/>
    <w:rsid w:val="004B1843"/>
    <w:rsid w:val="004B5F42"/>
    <w:rsid w:val="004C0BA5"/>
    <w:rsid w:val="004D04FF"/>
    <w:rsid w:val="004D09E3"/>
    <w:rsid w:val="004D0CA7"/>
    <w:rsid w:val="004D396C"/>
    <w:rsid w:val="004D6B87"/>
    <w:rsid w:val="004E1D2B"/>
    <w:rsid w:val="004F4E16"/>
    <w:rsid w:val="004F697B"/>
    <w:rsid w:val="004F77E7"/>
    <w:rsid w:val="005003C0"/>
    <w:rsid w:val="0050052F"/>
    <w:rsid w:val="00500DB6"/>
    <w:rsid w:val="00500F6F"/>
    <w:rsid w:val="00501F1B"/>
    <w:rsid w:val="005029F3"/>
    <w:rsid w:val="005061A2"/>
    <w:rsid w:val="005071C5"/>
    <w:rsid w:val="00507BC2"/>
    <w:rsid w:val="00510C36"/>
    <w:rsid w:val="00515AAF"/>
    <w:rsid w:val="00523716"/>
    <w:rsid w:val="00523FDF"/>
    <w:rsid w:val="00532E21"/>
    <w:rsid w:val="00533CC9"/>
    <w:rsid w:val="005340B6"/>
    <w:rsid w:val="0053490E"/>
    <w:rsid w:val="00534938"/>
    <w:rsid w:val="00536F65"/>
    <w:rsid w:val="0054000A"/>
    <w:rsid w:val="00541726"/>
    <w:rsid w:val="00545179"/>
    <w:rsid w:val="00547C0D"/>
    <w:rsid w:val="00554E65"/>
    <w:rsid w:val="005550AF"/>
    <w:rsid w:val="00560234"/>
    <w:rsid w:val="00561E33"/>
    <w:rsid w:val="00563A9F"/>
    <w:rsid w:val="005660CE"/>
    <w:rsid w:val="005664C5"/>
    <w:rsid w:val="005664D5"/>
    <w:rsid w:val="00570A68"/>
    <w:rsid w:val="00571074"/>
    <w:rsid w:val="005720D7"/>
    <w:rsid w:val="00590CB1"/>
    <w:rsid w:val="00591438"/>
    <w:rsid w:val="00593922"/>
    <w:rsid w:val="0059729D"/>
    <w:rsid w:val="005A2B47"/>
    <w:rsid w:val="005A3976"/>
    <w:rsid w:val="005A479E"/>
    <w:rsid w:val="005A4E32"/>
    <w:rsid w:val="005A7AEC"/>
    <w:rsid w:val="005B51CA"/>
    <w:rsid w:val="005B785C"/>
    <w:rsid w:val="005C28F8"/>
    <w:rsid w:val="005C384D"/>
    <w:rsid w:val="005C4F29"/>
    <w:rsid w:val="005C6F45"/>
    <w:rsid w:val="005D333A"/>
    <w:rsid w:val="005D51D3"/>
    <w:rsid w:val="005D6CC5"/>
    <w:rsid w:val="005E3292"/>
    <w:rsid w:val="005E609B"/>
    <w:rsid w:val="00600F49"/>
    <w:rsid w:val="00602EB6"/>
    <w:rsid w:val="00603A1D"/>
    <w:rsid w:val="00603ACD"/>
    <w:rsid w:val="00610C6A"/>
    <w:rsid w:val="006127FC"/>
    <w:rsid w:val="00615999"/>
    <w:rsid w:val="006159A1"/>
    <w:rsid w:val="00616497"/>
    <w:rsid w:val="00621381"/>
    <w:rsid w:val="00623E54"/>
    <w:rsid w:val="00625796"/>
    <w:rsid w:val="006330CD"/>
    <w:rsid w:val="006363B8"/>
    <w:rsid w:val="00641246"/>
    <w:rsid w:val="00641E19"/>
    <w:rsid w:val="00642E6C"/>
    <w:rsid w:val="00643BCC"/>
    <w:rsid w:val="006451DF"/>
    <w:rsid w:val="006561D9"/>
    <w:rsid w:val="006578D3"/>
    <w:rsid w:val="00664030"/>
    <w:rsid w:val="00664F97"/>
    <w:rsid w:val="00665877"/>
    <w:rsid w:val="00665C8E"/>
    <w:rsid w:val="00670F8C"/>
    <w:rsid w:val="00672964"/>
    <w:rsid w:val="00673C50"/>
    <w:rsid w:val="0068000B"/>
    <w:rsid w:val="006834E8"/>
    <w:rsid w:val="00686471"/>
    <w:rsid w:val="00687149"/>
    <w:rsid w:val="006A324D"/>
    <w:rsid w:val="006A4380"/>
    <w:rsid w:val="006A57AC"/>
    <w:rsid w:val="006B218D"/>
    <w:rsid w:val="006B28C5"/>
    <w:rsid w:val="006B38AA"/>
    <w:rsid w:val="006B4EE4"/>
    <w:rsid w:val="006B6118"/>
    <w:rsid w:val="006B7486"/>
    <w:rsid w:val="006C339F"/>
    <w:rsid w:val="006C5B5A"/>
    <w:rsid w:val="006C6F03"/>
    <w:rsid w:val="006D1A9D"/>
    <w:rsid w:val="006D2F05"/>
    <w:rsid w:val="006D2FA1"/>
    <w:rsid w:val="006E1138"/>
    <w:rsid w:val="006E4B5A"/>
    <w:rsid w:val="006E606C"/>
    <w:rsid w:val="006F0A1D"/>
    <w:rsid w:val="006F1FAC"/>
    <w:rsid w:val="006F2BC8"/>
    <w:rsid w:val="00700711"/>
    <w:rsid w:val="007048ED"/>
    <w:rsid w:val="00711154"/>
    <w:rsid w:val="00711725"/>
    <w:rsid w:val="007117F2"/>
    <w:rsid w:val="007126EB"/>
    <w:rsid w:val="00714AFA"/>
    <w:rsid w:val="00716D08"/>
    <w:rsid w:val="00721FEF"/>
    <w:rsid w:val="00724922"/>
    <w:rsid w:val="00725368"/>
    <w:rsid w:val="00727862"/>
    <w:rsid w:val="007279DB"/>
    <w:rsid w:val="00727B4D"/>
    <w:rsid w:val="00727E37"/>
    <w:rsid w:val="00730AB7"/>
    <w:rsid w:val="00735E74"/>
    <w:rsid w:val="00736A1E"/>
    <w:rsid w:val="0074373E"/>
    <w:rsid w:val="00743952"/>
    <w:rsid w:val="00744506"/>
    <w:rsid w:val="00747ACD"/>
    <w:rsid w:val="00753077"/>
    <w:rsid w:val="00753340"/>
    <w:rsid w:val="00753FD0"/>
    <w:rsid w:val="00754416"/>
    <w:rsid w:val="00754507"/>
    <w:rsid w:val="007546BC"/>
    <w:rsid w:val="00760928"/>
    <w:rsid w:val="00761EDE"/>
    <w:rsid w:val="0076513C"/>
    <w:rsid w:val="00766B79"/>
    <w:rsid w:val="00766C64"/>
    <w:rsid w:val="00767B50"/>
    <w:rsid w:val="0077234B"/>
    <w:rsid w:val="00775E21"/>
    <w:rsid w:val="00777BB0"/>
    <w:rsid w:val="0078108D"/>
    <w:rsid w:val="007830F0"/>
    <w:rsid w:val="00786DEC"/>
    <w:rsid w:val="00787BBE"/>
    <w:rsid w:val="0079130E"/>
    <w:rsid w:val="00791AFF"/>
    <w:rsid w:val="007922BA"/>
    <w:rsid w:val="007964D2"/>
    <w:rsid w:val="00797A45"/>
    <w:rsid w:val="007A0E9C"/>
    <w:rsid w:val="007A1AEF"/>
    <w:rsid w:val="007A2440"/>
    <w:rsid w:val="007A79D1"/>
    <w:rsid w:val="007B13A3"/>
    <w:rsid w:val="007B3889"/>
    <w:rsid w:val="007B4C14"/>
    <w:rsid w:val="007B58E9"/>
    <w:rsid w:val="007B795F"/>
    <w:rsid w:val="007C4BBC"/>
    <w:rsid w:val="007C7490"/>
    <w:rsid w:val="007C7D04"/>
    <w:rsid w:val="007D353F"/>
    <w:rsid w:val="007D480C"/>
    <w:rsid w:val="007E101D"/>
    <w:rsid w:val="007E377A"/>
    <w:rsid w:val="007E683F"/>
    <w:rsid w:val="007E6DFE"/>
    <w:rsid w:val="007E74EE"/>
    <w:rsid w:val="007F1078"/>
    <w:rsid w:val="007F54E8"/>
    <w:rsid w:val="007F6206"/>
    <w:rsid w:val="007F6533"/>
    <w:rsid w:val="00800895"/>
    <w:rsid w:val="008079D7"/>
    <w:rsid w:val="00807FA9"/>
    <w:rsid w:val="00814667"/>
    <w:rsid w:val="00822ECD"/>
    <w:rsid w:val="00831890"/>
    <w:rsid w:val="00833680"/>
    <w:rsid w:val="008352DC"/>
    <w:rsid w:val="00840774"/>
    <w:rsid w:val="008417B0"/>
    <w:rsid w:val="00842908"/>
    <w:rsid w:val="008432FC"/>
    <w:rsid w:val="008542CF"/>
    <w:rsid w:val="00865F21"/>
    <w:rsid w:val="008674DA"/>
    <w:rsid w:val="00872007"/>
    <w:rsid w:val="00873882"/>
    <w:rsid w:val="008769C7"/>
    <w:rsid w:val="008808C7"/>
    <w:rsid w:val="00881B7F"/>
    <w:rsid w:val="00887531"/>
    <w:rsid w:val="00887733"/>
    <w:rsid w:val="00891D3C"/>
    <w:rsid w:val="00894179"/>
    <w:rsid w:val="008956BC"/>
    <w:rsid w:val="008957EC"/>
    <w:rsid w:val="00897216"/>
    <w:rsid w:val="008A15AD"/>
    <w:rsid w:val="008A1F49"/>
    <w:rsid w:val="008A6318"/>
    <w:rsid w:val="008A7B46"/>
    <w:rsid w:val="008B077A"/>
    <w:rsid w:val="008B2F51"/>
    <w:rsid w:val="008B433B"/>
    <w:rsid w:val="008C365E"/>
    <w:rsid w:val="008C3F7B"/>
    <w:rsid w:val="008D6E22"/>
    <w:rsid w:val="008E7EDF"/>
    <w:rsid w:val="008F46A6"/>
    <w:rsid w:val="008F5720"/>
    <w:rsid w:val="008F6B0D"/>
    <w:rsid w:val="008F71CF"/>
    <w:rsid w:val="00901B19"/>
    <w:rsid w:val="00902A78"/>
    <w:rsid w:val="0090646D"/>
    <w:rsid w:val="00910780"/>
    <w:rsid w:val="00913A6E"/>
    <w:rsid w:val="0091546F"/>
    <w:rsid w:val="00915B50"/>
    <w:rsid w:val="00920B18"/>
    <w:rsid w:val="00920D0C"/>
    <w:rsid w:val="00923235"/>
    <w:rsid w:val="009303CB"/>
    <w:rsid w:val="00935A44"/>
    <w:rsid w:val="00942B10"/>
    <w:rsid w:val="009435FE"/>
    <w:rsid w:val="00945420"/>
    <w:rsid w:val="00945EC5"/>
    <w:rsid w:val="009469A9"/>
    <w:rsid w:val="00947EB6"/>
    <w:rsid w:val="00953ECC"/>
    <w:rsid w:val="009630EB"/>
    <w:rsid w:val="00972607"/>
    <w:rsid w:val="009833AF"/>
    <w:rsid w:val="00983769"/>
    <w:rsid w:val="00990499"/>
    <w:rsid w:val="00994AB9"/>
    <w:rsid w:val="00994F21"/>
    <w:rsid w:val="009A0F78"/>
    <w:rsid w:val="009A307D"/>
    <w:rsid w:val="009B5CDF"/>
    <w:rsid w:val="009B5CFD"/>
    <w:rsid w:val="009C402E"/>
    <w:rsid w:val="009C5C2A"/>
    <w:rsid w:val="009D0147"/>
    <w:rsid w:val="009D5D10"/>
    <w:rsid w:val="009E0F74"/>
    <w:rsid w:val="009E17CB"/>
    <w:rsid w:val="009E2FA7"/>
    <w:rsid w:val="009E3763"/>
    <w:rsid w:val="009F258F"/>
    <w:rsid w:val="00A00D84"/>
    <w:rsid w:val="00A028BB"/>
    <w:rsid w:val="00A1206A"/>
    <w:rsid w:val="00A1704D"/>
    <w:rsid w:val="00A227B7"/>
    <w:rsid w:val="00A23828"/>
    <w:rsid w:val="00A31965"/>
    <w:rsid w:val="00A320CE"/>
    <w:rsid w:val="00A322A9"/>
    <w:rsid w:val="00A335AA"/>
    <w:rsid w:val="00A338F1"/>
    <w:rsid w:val="00A376B0"/>
    <w:rsid w:val="00A40F75"/>
    <w:rsid w:val="00A418BA"/>
    <w:rsid w:val="00A466EB"/>
    <w:rsid w:val="00A62096"/>
    <w:rsid w:val="00A6358A"/>
    <w:rsid w:val="00A65D1F"/>
    <w:rsid w:val="00A700FA"/>
    <w:rsid w:val="00A7025A"/>
    <w:rsid w:val="00A70C29"/>
    <w:rsid w:val="00A74055"/>
    <w:rsid w:val="00A7617D"/>
    <w:rsid w:val="00A77ECB"/>
    <w:rsid w:val="00A803FB"/>
    <w:rsid w:val="00A81444"/>
    <w:rsid w:val="00A81A6A"/>
    <w:rsid w:val="00A81DAE"/>
    <w:rsid w:val="00A8397F"/>
    <w:rsid w:val="00A83E0D"/>
    <w:rsid w:val="00A84FCB"/>
    <w:rsid w:val="00AA130D"/>
    <w:rsid w:val="00AA480E"/>
    <w:rsid w:val="00AB2C06"/>
    <w:rsid w:val="00AB2E68"/>
    <w:rsid w:val="00AB30F9"/>
    <w:rsid w:val="00AB68CB"/>
    <w:rsid w:val="00AB77C8"/>
    <w:rsid w:val="00AC18FB"/>
    <w:rsid w:val="00AC7033"/>
    <w:rsid w:val="00AC759A"/>
    <w:rsid w:val="00AD2387"/>
    <w:rsid w:val="00AD28FB"/>
    <w:rsid w:val="00AD2E9F"/>
    <w:rsid w:val="00AD3EDC"/>
    <w:rsid w:val="00AD6536"/>
    <w:rsid w:val="00AD793F"/>
    <w:rsid w:val="00AE33AA"/>
    <w:rsid w:val="00AE340C"/>
    <w:rsid w:val="00AE5CC8"/>
    <w:rsid w:val="00AF5C2C"/>
    <w:rsid w:val="00B00489"/>
    <w:rsid w:val="00B005B3"/>
    <w:rsid w:val="00B02E18"/>
    <w:rsid w:val="00B061DB"/>
    <w:rsid w:val="00B0734C"/>
    <w:rsid w:val="00B1330D"/>
    <w:rsid w:val="00B13C00"/>
    <w:rsid w:val="00B143EF"/>
    <w:rsid w:val="00B157AE"/>
    <w:rsid w:val="00B235E3"/>
    <w:rsid w:val="00B27DFF"/>
    <w:rsid w:val="00B54329"/>
    <w:rsid w:val="00B56481"/>
    <w:rsid w:val="00B64AAA"/>
    <w:rsid w:val="00B70EB4"/>
    <w:rsid w:val="00B737B8"/>
    <w:rsid w:val="00B7584D"/>
    <w:rsid w:val="00B77148"/>
    <w:rsid w:val="00B846A9"/>
    <w:rsid w:val="00B879EF"/>
    <w:rsid w:val="00B95A07"/>
    <w:rsid w:val="00BA55BC"/>
    <w:rsid w:val="00BB1386"/>
    <w:rsid w:val="00BB4204"/>
    <w:rsid w:val="00BB421A"/>
    <w:rsid w:val="00BC2332"/>
    <w:rsid w:val="00BC5C91"/>
    <w:rsid w:val="00BD0D65"/>
    <w:rsid w:val="00BD212F"/>
    <w:rsid w:val="00BD31A3"/>
    <w:rsid w:val="00BD3640"/>
    <w:rsid w:val="00BD416B"/>
    <w:rsid w:val="00BE076F"/>
    <w:rsid w:val="00BE17F6"/>
    <w:rsid w:val="00BE1B75"/>
    <w:rsid w:val="00BE4655"/>
    <w:rsid w:val="00BF3124"/>
    <w:rsid w:val="00BF443B"/>
    <w:rsid w:val="00BF6143"/>
    <w:rsid w:val="00BF6718"/>
    <w:rsid w:val="00BF78DC"/>
    <w:rsid w:val="00C03AFD"/>
    <w:rsid w:val="00C04443"/>
    <w:rsid w:val="00C15B97"/>
    <w:rsid w:val="00C17BBC"/>
    <w:rsid w:val="00C17DE8"/>
    <w:rsid w:val="00C20464"/>
    <w:rsid w:val="00C256E0"/>
    <w:rsid w:val="00C31573"/>
    <w:rsid w:val="00C35DB3"/>
    <w:rsid w:val="00C37752"/>
    <w:rsid w:val="00C40CFA"/>
    <w:rsid w:val="00C464BD"/>
    <w:rsid w:val="00C47880"/>
    <w:rsid w:val="00C5603C"/>
    <w:rsid w:val="00C57389"/>
    <w:rsid w:val="00C622A5"/>
    <w:rsid w:val="00C63968"/>
    <w:rsid w:val="00C67B5D"/>
    <w:rsid w:val="00C709CC"/>
    <w:rsid w:val="00C74413"/>
    <w:rsid w:val="00C77BD6"/>
    <w:rsid w:val="00C81930"/>
    <w:rsid w:val="00C834EE"/>
    <w:rsid w:val="00C94D33"/>
    <w:rsid w:val="00C95A06"/>
    <w:rsid w:val="00C972D0"/>
    <w:rsid w:val="00CA21D8"/>
    <w:rsid w:val="00CA3F6A"/>
    <w:rsid w:val="00CA6A08"/>
    <w:rsid w:val="00CB0A5E"/>
    <w:rsid w:val="00CB1F58"/>
    <w:rsid w:val="00CB2AC2"/>
    <w:rsid w:val="00CB5B0B"/>
    <w:rsid w:val="00CB6382"/>
    <w:rsid w:val="00CB6FBD"/>
    <w:rsid w:val="00CD7CF4"/>
    <w:rsid w:val="00CE0166"/>
    <w:rsid w:val="00CE53B9"/>
    <w:rsid w:val="00CE5FAD"/>
    <w:rsid w:val="00CE78FE"/>
    <w:rsid w:val="00D02204"/>
    <w:rsid w:val="00D06AEB"/>
    <w:rsid w:val="00D06E21"/>
    <w:rsid w:val="00D07A20"/>
    <w:rsid w:val="00D103FC"/>
    <w:rsid w:val="00D11CF7"/>
    <w:rsid w:val="00D166B5"/>
    <w:rsid w:val="00D16907"/>
    <w:rsid w:val="00D20EDB"/>
    <w:rsid w:val="00D32208"/>
    <w:rsid w:val="00D35871"/>
    <w:rsid w:val="00D36DD7"/>
    <w:rsid w:val="00D4105A"/>
    <w:rsid w:val="00D5254F"/>
    <w:rsid w:val="00D65907"/>
    <w:rsid w:val="00D671CE"/>
    <w:rsid w:val="00D6768A"/>
    <w:rsid w:val="00D72636"/>
    <w:rsid w:val="00D74D0D"/>
    <w:rsid w:val="00D84C96"/>
    <w:rsid w:val="00D8530A"/>
    <w:rsid w:val="00D90F70"/>
    <w:rsid w:val="00D912CE"/>
    <w:rsid w:val="00DA0705"/>
    <w:rsid w:val="00DA109D"/>
    <w:rsid w:val="00DA118A"/>
    <w:rsid w:val="00DA2010"/>
    <w:rsid w:val="00DA67D4"/>
    <w:rsid w:val="00DA6C1B"/>
    <w:rsid w:val="00DB2634"/>
    <w:rsid w:val="00DB297B"/>
    <w:rsid w:val="00DB2E28"/>
    <w:rsid w:val="00DC057B"/>
    <w:rsid w:val="00DC482D"/>
    <w:rsid w:val="00DC6876"/>
    <w:rsid w:val="00DF0000"/>
    <w:rsid w:val="00DF155A"/>
    <w:rsid w:val="00E056B6"/>
    <w:rsid w:val="00E05E76"/>
    <w:rsid w:val="00E07D70"/>
    <w:rsid w:val="00E12EB6"/>
    <w:rsid w:val="00E12EE0"/>
    <w:rsid w:val="00E17E49"/>
    <w:rsid w:val="00E26776"/>
    <w:rsid w:val="00E27D8C"/>
    <w:rsid w:val="00E30DD1"/>
    <w:rsid w:val="00E3162F"/>
    <w:rsid w:val="00E36891"/>
    <w:rsid w:val="00E47823"/>
    <w:rsid w:val="00E5044C"/>
    <w:rsid w:val="00E52C35"/>
    <w:rsid w:val="00E55098"/>
    <w:rsid w:val="00E56538"/>
    <w:rsid w:val="00E5670B"/>
    <w:rsid w:val="00E601E6"/>
    <w:rsid w:val="00E615AB"/>
    <w:rsid w:val="00E630B3"/>
    <w:rsid w:val="00E67784"/>
    <w:rsid w:val="00E726A0"/>
    <w:rsid w:val="00E7282A"/>
    <w:rsid w:val="00E776D8"/>
    <w:rsid w:val="00E8047B"/>
    <w:rsid w:val="00E8471E"/>
    <w:rsid w:val="00E84AD3"/>
    <w:rsid w:val="00E86927"/>
    <w:rsid w:val="00E9132B"/>
    <w:rsid w:val="00E94760"/>
    <w:rsid w:val="00E94BE5"/>
    <w:rsid w:val="00EA007F"/>
    <w:rsid w:val="00EA1062"/>
    <w:rsid w:val="00EA19E5"/>
    <w:rsid w:val="00EA1FB1"/>
    <w:rsid w:val="00EA68EC"/>
    <w:rsid w:val="00EA7EC4"/>
    <w:rsid w:val="00EB2D90"/>
    <w:rsid w:val="00EC2CE3"/>
    <w:rsid w:val="00ED1BA1"/>
    <w:rsid w:val="00ED3AFF"/>
    <w:rsid w:val="00ED5A61"/>
    <w:rsid w:val="00EE2873"/>
    <w:rsid w:val="00EE384A"/>
    <w:rsid w:val="00EE6A91"/>
    <w:rsid w:val="00EE7178"/>
    <w:rsid w:val="00EE74A4"/>
    <w:rsid w:val="00EF0AF1"/>
    <w:rsid w:val="00EF0B51"/>
    <w:rsid w:val="00EF5F3E"/>
    <w:rsid w:val="00F075C1"/>
    <w:rsid w:val="00F133CE"/>
    <w:rsid w:val="00F217BB"/>
    <w:rsid w:val="00F237E5"/>
    <w:rsid w:val="00F246FD"/>
    <w:rsid w:val="00F3129D"/>
    <w:rsid w:val="00F33DB4"/>
    <w:rsid w:val="00F34864"/>
    <w:rsid w:val="00F37BD3"/>
    <w:rsid w:val="00F41221"/>
    <w:rsid w:val="00F44E5B"/>
    <w:rsid w:val="00F46AF2"/>
    <w:rsid w:val="00F56BAF"/>
    <w:rsid w:val="00F618F6"/>
    <w:rsid w:val="00F64FEC"/>
    <w:rsid w:val="00F65A65"/>
    <w:rsid w:val="00F67D30"/>
    <w:rsid w:val="00F70AA8"/>
    <w:rsid w:val="00F80D24"/>
    <w:rsid w:val="00F84B98"/>
    <w:rsid w:val="00F854A4"/>
    <w:rsid w:val="00F95771"/>
    <w:rsid w:val="00FA1A70"/>
    <w:rsid w:val="00FA1F3D"/>
    <w:rsid w:val="00FA4D31"/>
    <w:rsid w:val="00FA64D9"/>
    <w:rsid w:val="00FB073A"/>
    <w:rsid w:val="00FB393F"/>
    <w:rsid w:val="00FB423A"/>
    <w:rsid w:val="00FB453F"/>
    <w:rsid w:val="00FB5EBD"/>
    <w:rsid w:val="00FB665B"/>
    <w:rsid w:val="00FB741D"/>
    <w:rsid w:val="00FC5EF3"/>
    <w:rsid w:val="00FD03EB"/>
    <w:rsid w:val="00FD2F31"/>
    <w:rsid w:val="00FD43A3"/>
    <w:rsid w:val="00FD505C"/>
    <w:rsid w:val="00FE2E16"/>
    <w:rsid w:val="00FE3028"/>
    <w:rsid w:val="00FE520F"/>
    <w:rsid w:val="00FF0D6D"/>
    <w:rsid w:val="00FF3D53"/>
    <w:rsid w:val="00FF421F"/>
    <w:rsid w:val="00FF4393"/>
    <w:rsid w:val="01447FED"/>
    <w:rsid w:val="015F5402"/>
    <w:rsid w:val="016476A8"/>
    <w:rsid w:val="01721438"/>
    <w:rsid w:val="01BD5107"/>
    <w:rsid w:val="01E2681D"/>
    <w:rsid w:val="0216683B"/>
    <w:rsid w:val="023F2212"/>
    <w:rsid w:val="024E370F"/>
    <w:rsid w:val="029F1F34"/>
    <w:rsid w:val="02A6375B"/>
    <w:rsid w:val="03003ED6"/>
    <w:rsid w:val="032641D2"/>
    <w:rsid w:val="03273697"/>
    <w:rsid w:val="03386903"/>
    <w:rsid w:val="03765914"/>
    <w:rsid w:val="038443E9"/>
    <w:rsid w:val="03AE58AC"/>
    <w:rsid w:val="0408358B"/>
    <w:rsid w:val="040D4B17"/>
    <w:rsid w:val="04227A8A"/>
    <w:rsid w:val="043C6AC7"/>
    <w:rsid w:val="043D4C16"/>
    <w:rsid w:val="045312B7"/>
    <w:rsid w:val="045701C2"/>
    <w:rsid w:val="04A86651"/>
    <w:rsid w:val="04B35986"/>
    <w:rsid w:val="04CC36DC"/>
    <w:rsid w:val="04F567BF"/>
    <w:rsid w:val="0550620D"/>
    <w:rsid w:val="05B007F4"/>
    <w:rsid w:val="060D7AC3"/>
    <w:rsid w:val="06AE7966"/>
    <w:rsid w:val="06D030CF"/>
    <w:rsid w:val="06DD24E5"/>
    <w:rsid w:val="07015335"/>
    <w:rsid w:val="07170189"/>
    <w:rsid w:val="07692500"/>
    <w:rsid w:val="07C22FDD"/>
    <w:rsid w:val="07CB5EF3"/>
    <w:rsid w:val="07CF5160"/>
    <w:rsid w:val="07D249F0"/>
    <w:rsid w:val="07D52018"/>
    <w:rsid w:val="07E20655"/>
    <w:rsid w:val="0813265F"/>
    <w:rsid w:val="08357496"/>
    <w:rsid w:val="08591B53"/>
    <w:rsid w:val="086C6EAC"/>
    <w:rsid w:val="0896434D"/>
    <w:rsid w:val="08AF4DBD"/>
    <w:rsid w:val="08B45976"/>
    <w:rsid w:val="08E23C92"/>
    <w:rsid w:val="08F95FB4"/>
    <w:rsid w:val="08FE1E72"/>
    <w:rsid w:val="09002F54"/>
    <w:rsid w:val="091B5EFC"/>
    <w:rsid w:val="09622F70"/>
    <w:rsid w:val="096D3B41"/>
    <w:rsid w:val="0978311E"/>
    <w:rsid w:val="09CD0D1F"/>
    <w:rsid w:val="09F3104E"/>
    <w:rsid w:val="0A0F6851"/>
    <w:rsid w:val="0A5131DE"/>
    <w:rsid w:val="0A5B5594"/>
    <w:rsid w:val="0A7E1D45"/>
    <w:rsid w:val="0B147172"/>
    <w:rsid w:val="0B4F72AA"/>
    <w:rsid w:val="0B90476A"/>
    <w:rsid w:val="0BCB6B90"/>
    <w:rsid w:val="0BD771A9"/>
    <w:rsid w:val="0BDE2B3E"/>
    <w:rsid w:val="0C0B785A"/>
    <w:rsid w:val="0C2A0A04"/>
    <w:rsid w:val="0C4726B5"/>
    <w:rsid w:val="0C4E706C"/>
    <w:rsid w:val="0CAC2D4F"/>
    <w:rsid w:val="0CE02DB7"/>
    <w:rsid w:val="0CE369DB"/>
    <w:rsid w:val="0D1424ED"/>
    <w:rsid w:val="0D3638E6"/>
    <w:rsid w:val="0D500B9C"/>
    <w:rsid w:val="0D633BCA"/>
    <w:rsid w:val="0D654285"/>
    <w:rsid w:val="0D7D68F0"/>
    <w:rsid w:val="0D7F0DA0"/>
    <w:rsid w:val="0D8B5D97"/>
    <w:rsid w:val="0D9C5224"/>
    <w:rsid w:val="0DDE32C6"/>
    <w:rsid w:val="0E341D45"/>
    <w:rsid w:val="0E5B5CC4"/>
    <w:rsid w:val="0E602195"/>
    <w:rsid w:val="0E6D0107"/>
    <w:rsid w:val="0E6E6CCC"/>
    <w:rsid w:val="0E91451B"/>
    <w:rsid w:val="0EB0173F"/>
    <w:rsid w:val="0EB36F7C"/>
    <w:rsid w:val="0ED553D4"/>
    <w:rsid w:val="0EDD3337"/>
    <w:rsid w:val="0F0A2B80"/>
    <w:rsid w:val="0F0F5B76"/>
    <w:rsid w:val="0F4C7A20"/>
    <w:rsid w:val="0F5804A2"/>
    <w:rsid w:val="0F9A1F0D"/>
    <w:rsid w:val="0FE36EFB"/>
    <w:rsid w:val="0FF22248"/>
    <w:rsid w:val="101A0F78"/>
    <w:rsid w:val="102231AE"/>
    <w:rsid w:val="103948D6"/>
    <w:rsid w:val="10450EDF"/>
    <w:rsid w:val="10BB4A8A"/>
    <w:rsid w:val="10FF70D4"/>
    <w:rsid w:val="11037121"/>
    <w:rsid w:val="1151633F"/>
    <w:rsid w:val="118C7086"/>
    <w:rsid w:val="11B26E3E"/>
    <w:rsid w:val="11E60FAE"/>
    <w:rsid w:val="12055C99"/>
    <w:rsid w:val="122312E5"/>
    <w:rsid w:val="124C4934"/>
    <w:rsid w:val="124C652A"/>
    <w:rsid w:val="12646214"/>
    <w:rsid w:val="12775574"/>
    <w:rsid w:val="1303603A"/>
    <w:rsid w:val="13120A43"/>
    <w:rsid w:val="13236A42"/>
    <w:rsid w:val="13273086"/>
    <w:rsid w:val="1328030F"/>
    <w:rsid w:val="13305A4D"/>
    <w:rsid w:val="13517445"/>
    <w:rsid w:val="13773506"/>
    <w:rsid w:val="13B300C2"/>
    <w:rsid w:val="14114486"/>
    <w:rsid w:val="14124549"/>
    <w:rsid w:val="14264638"/>
    <w:rsid w:val="14352B57"/>
    <w:rsid w:val="1461092C"/>
    <w:rsid w:val="148E34F3"/>
    <w:rsid w:val="14B95E54"/>
    <w:rsid w:val="14F651A9"/>
    <w:rsid w:val="15670BCE"/>
    <w:rsid w:val="15877D00"/>
    <w:rsid w:val="15A1784D"/>
    <w:rsid w:val="15A9559A"/>
    <w:rsid w:val="15C3652A"/>
    <w:rsid w:val="15DF4E26"/>
    <w:rsid w:val="15E679C2"/>
    <w:rsid w:val="15F24C80"/>
    <w:rsid w:val="161D3E83"/>
    <w:rsid w:val="162437A1"/>
    <w:rsid w:val="16244921"/>
    <w:rsid w:val="165A3666"/>
    <w:rsid w:val="16653668"/>
    <w:rsid w:val="168E51B8"/>
    <w:rsid w:val="1692720B"/>
    <w:rsid w:val="16F747A3"/>
    <w:rsid w:val="17561646"/>
    <w:rsid w:val="177F7D15"/>
    <w:rsid w:val="17B82654"/>
    <w:rsid w:val="17D00A30"/>
    <w:rsid w:val="17DD5A9C"/>
    <w:rsid w:val="180B52FE"/>
    <w:rsid w:val="18653109"/>
    <w:rsid w:val="18950EB9"/>
    <w:rsid w:val="18DD6235"/>
    <w:rsid w:val="18E513A4"/>
    <w:rsid w:val="19167E12"/>
    <w:rsid w:val="19771A57"/>
    <w:rsid w:val="197D0AEB"/>
    <w:rsid w:val="19A55C0B"/>
    <w:rsid w:val="19CB5ADC"/>
    <w:rsid w:val="19CC237D"/>
    <w:rsid w:val="19F71195"/>
    <w:rsid w:val="1A0F1E11"/>
    <w:rsid w:val="1A2E126B"/>
    <w:rsid w:val="1A3053DF"/>
    <w:rsid w:val="1A7E74A1"/>
    <w:rsid w:val="1AA03612"/>
    <w:rsid w:val="1AAF7255"/>
    <w:rsid w:val="1AB5406E"/>
    <w:rsid w:val="1AF46EB8"/>
    <w:rsid w:val="1B310ABD"/>
    <w:rsid w:val="1B92588E"/>
    <w:rsid w:val="1BAE2F13"/>
    <w:rsid w:val="1C026FCB"/>
    <w:rsid w:val="1C204D81"/>
    <w:rsid w:val="1C624BA2"/>
    <w:rsid w:val="1C6527B9"/>
    <w:rsid w:val="1C8E638D"/>
    <w:rsid w:val="1D216D5C"/>
    <w:rsid w:val="1D524E75"/>
    <w:rsid w:val="1D636238"/>
    <w:rsid w:val="1D711B13"/>
    <w:rsid w:val="1D835251"/>
    <w:rsid w:val="1DAF30D4"/>
    <w:rsid w:val="1DC22E3E"/>
    <w:rsid w:val="1DE75FF4"/>
    <w:rsid w:val="1E2B183A"/>
    <w:rsid w:val="1E6E2B42"/>
    <w:rsid w:val="1E75676A"/>
    <w:rsid w:val="1E826282"/>
    <w:rsid w:val="1ED52067"/>
    <w:rsid w:val="1F02520E"/>
    <w:rsid w:val="1F1D2F7F"/>
    <w:rsid w:val="1F345490"/>
    <w:rsid w:val="1F692C3A"/>
    <w:rsid w:val="1F87326D"/>
    <w:rsid w:val="1F8A6355"/>
    <w:rsid w:val="1F9E62E3"/>
    <w:rsid w:val="1FD313BD"/>
    <w:rsid w:val="1FE550AA"/>
    <w:rsid w:val="1FE92FA0"/>
    <w:rsid w:val="20076755"/>
    <w:rsid w:val="2082266E"/>
    <w:rsid w:val="208A2DBC"/>
    <w:rsid w:val="2096068A"/>
    <w:rsid w:val="20C0215D"/>
    <w:rsid w:val="20C0646C"/>
    <w:rsid w:val="213F54C5"/>
    <w:rsid w:val="216E2852"/>
    <w:rsid w:val="2199777E"/>
    <w:rsid w:val="21C856F1"/>
    <w:rsid w:val="21F31ACC"/>
    <w:rsid w:val="22292234"/>
    <w:rsid w:val="22356BC3"/>
    <w:rsid w:val="228B167D"/>
    <w:rsid w:val="22984A4E"/>
    <w:rsid w:val="22C931E6"/>
    <w:rsid w:val="22CA264A"/>
    <w:rsid w:val="22E272B5"/>
    <w:rsid w:val="22EF077D"/>
    <w:rsid w:val="23C843A3"/>
    <w:rsid w:val="24480E76"/>
    <w:rsid w:val="2466636A"/>
    <w:rsid w:val="246F13F4"/>
    <w:rsid w:val="247A2FA9"/>
    <w:rsid w:val="2486589E"/>
    <w:rsid w:val="24B81E5C"/>
    <w:rsid w:val="24BC53D7"/>
    <w:rsid w:val="24EC0269"/>
    <w:rsid w:val="254E4396"/>
    <w:rsid w:val="25C36776"/>
    <w:rsid w:val="25F81C53"/>
    <w:rsid w:val="266649A3"/>
    <w:rsid w:val="26F517E9"/>
    <w:rsid w:val="27296BE2"/>
    <w:rsid w:val="27A5081A"/>
    <w:rsid w:val="27DA3515"/>
    <w:rsid w:val="27E908BD"/>
    <w:rsid w:val="27FE3D61"/>
    <w:rsid w:val="28093CA5"/>
    <w:rsid w:val="28477A73"/>
    <w:rsid w:val="28F54102"/>
    <w:rsid w:val="291C764B"/>
    <w:rsid w:val="294C0A81"/>
    <w:rsid w:val="29534154"/>
    <w:rsid w:val="29550870"/>
    <w:rsid w:val="29740040"/>
    <w:rsid w:val="29766395"/>
    <w:rsid w:val="29796291"/>
    <w:rsid w:val="29851D94"/>
    <w:rsid w:val="29917918"/>
    <w:rsid w:val="29D32C19"/>
    <w:rsid w:val="29F55D62"/>
    <w:rsid w:val="2A006D8E"/>
    <w:rsid w:val="2A016E6D"/>
    <w:rsid w:val="2A307838"/>
    <w:rsid w:val="2A8A6505"/>
    <w:rsid w:val="2B0B6AD6"/>
    <w:rsid w:val="2B5C17F2"/>
    <w:rsid w:val="2B834654"/>
    <w:rsid w:val="2B985E50"/>
    <w:rsid w:val="2C0A4979"/>
    <w:rsid w:val="2C164A5C"/>
    <w:rsid w:val="2C7F1E6F"/>
    <w:rsid w:val="2CA22B23"/>
    <w:rsid w:val="2CB61CA7"/>
    <w:rsid w:val="2CBA034C"/>
    <w:rsid w:val="2CD42CCF"/>
    <w:rsid w:val="2CF07500"/>
    <w:rsid w:val="2D1539BE"/>
    <w:rsid w:val="2D1804CF"/>
    <w:rsid w:val="2D1A1268"/>
    <w:rsid w:val="2D2A1307"/>
    <w:rsid w:val="2D4C094B"/>
    <w:rsid w:val="2D6F2AE8"/>
    <w:rsid w:val="2D924D0F"/>
    <w:rsid w:val="2D951BAB"/>
    <w:rsid w:val="2DB43B45"/>
    <w:rsid w:val="2DB95F1A"/>
    <w:rsid w:val="2DFC3CF6"/>
    <w:rsid w:val="2E122D00"/>
    <w:rsid w:val="2E2E06E7"/>
    <w:rsid w:val="2E340475"/>
    <w:rsid w:val="2E481997"/>
    <w:rsid w:val="2E623CC4"/>
    <w:rsid w:val="2E763F56"/>
    <w:rsid w:val="2E9201DD"/>
    <w:rsid w:val="2EEB02A5"/>
    <w:rsid w:val="2EF022B5"/>
    <w:rsid w:val="2F3D20D8"/>
    <w:rsid w:val="2F415711"/>
    <w:rsid w:val="2F4D14E1"/>
    <w:rsid w:val="2F514C43"/>
    <w:rsid w:val="2FA42DB2"/>
    <w:rsid w:val="300A684A"/>
    <w:rsid w:val="30751715"/>
    <w:rsid w:val="307A61A6"/>
    <w:rsid w:val="308332F4"/>
    <w:rsid w:val="309C06AB"/>
    <w:rsid w:val="30D140CD"/>
    <w:rsid w:val="30D55E35"/>
    <w:rsid w:val="30F1298E"/>
    <w:rsid w:val="31072005"/>
    <w:rsid w:val="31082D52"/>
    <w:rsid w:val="310E0FDE"/>
    <w:rsid w:val="313F44CF"/>
    <w:rsid w:val="314F3A85"/>
    <w:rsid w:val="31BE3AA0"/>
    <w:rsid w:val="31E94488"/>
    <w:rsid w:val="32072E87"/>
    <w:rsid w:val="32245C0D"/>
    <w:rsid w:val="326B4530"/>
    <w:rsid w:val="326C5231"/>
    <w:rsid w:val="327F16A3"/>
    <w:rsid w:val="32E0684A"/>
    <w:rsid w:val="3324330A"/>
    <w:rsid w:val="33710FCC"/>
    <w:rsid w:val="337A1C74"/>
    <w:rsid w:val="339D5924"/>
    <w:rsid w:val="33B51A84"/>
    <w:rsid w:val="33BA3AE0"/>
    <w:rsid w:val="344E7231"/>
    <w:rsid w:val="347103C1"/>
    <w:rsid w:val="349A4A97"/>
    <w:rsid w:val="34B47921"/>
    <w:rsid w:val="34B705F5"/>
    <w:rsid w:val="34BD11B6"/>
    <w:rsid w:val="34C35BD2"/>
    <w:rsid w:val="34CB2E76"/>
    <w:rsid w:val="351827CA"/>
    <w:rsid w:val="355D5414"/>
    <w:rsid w:val="35613C72"/>
    <w:rsid w:val="35626A00"/>
    <w:rsid w:val="35711B34"/>
    <w:rsid w:val="35882BBB"/>
    <w:rsid w:val="35A41DB0"/>
    <w:rsid w:val="35DF258A"/>
    <w:rsid w:val="360321BD"/>
    <w:rsid w:val="36411214"/>
    <w:rsid w:val="365F7471"/>
    <w:rsid w:val="367D5921"/>
    <w:rsid w:val="369E7CEC"/>
    <w:rsid w:val="36DE491C"/>
    <w:rsid w:val="36F253B6"/>
    <w:rsid w:val="370F76FD"/>
    <w:rsid w:val="37BF3A6C"/>
    <w:rsid w:val="37E95C37"/>
    <w:rsid w:val="380553BB"/>
    <w:rsid w:val="380C13C3"/>
    <w:rsid w:val="3811288C"/>
    <w:rsid w:val="387F629B"/>
    <w:rsid w:val="388A0683"/>
    <w:rsid w:val="389D010D"/>
    <w:rsid w:val="38C907EF"/>
    <w:rsid w:val="38CF2EDB"/>
    <w:rsid w:val="38D86172"/>
    <w:rsid w:val="38F40D70"/>
    <w:rsid w:val="390C4FBF"/>
    <w:rsid w:val="39156DC5"/>
    <w:rsid w:val="39274876"/>
    <w:rsid w:val="392871A9"/>
    <w:rsid w:val="392B48FC"/>
    <w:rsid w:val="3945421B"/>
    <w:rsid w:val="395F291D"/>
    <w:rsid w:val="39B04DE3"/>
    <w:rsid w:val="39C533E3"/>
    <w:rsid w:val="39D41EC8"/>
    <w:rsid w:val="3A1950A2"/>
    <w:rsid w:val="3A1E5022"/>
    <w:rsid w:val="3A256202"/>
    <w:rsid w:val="3A5C6123"/>
    <w:rsid w:val="3A776BB8"/>
    <w:rsid w:val="3ABB5EDE"/>
    <w:rsid w:val="3AC0789D"/>
    <w:rsid w:val="3B1D7210"/>
    <w:rsid w:val="3B4329DE"/>
    <w:rsid w:val="3B5F130B"/>
    <w:rsid w:val="3B726420"/>
    <w:rsid w:val="3B851FDF"/>
    <w:rsid w:val="3BB93C3A"/>
    <w:rsid w:val="3C1C2BC0"/>
    <w:rsid w:val="3C1D466B"/>
    <w:rsid w:val="3C5E4E5C"/>
    <w:rsid w:val="3C70743E"/>
    <w:rsid w:val="3C8D359E"/>
    <w:rsid w:val="3C950667"/>
    <w:rsid w:val="3CA47FAF"/>
    <w:rsid w:val="3CBE74AE"/>
    <w:rsid w:val="3CC64FFC"/>
    <w:rsid w:val="3CD43578"/>
    <w:rsid w:val="3D082855"/>
    <w:rsid w:val="3D487987"/>
    <w:rsid w:val="3D870C90"/>
    <w:rsid w:val="3DA23079"/>
    <w:rsid w:val="3DCC00F6"/>
    <w:rsid w:val="3DF732A7"/>
    <w:rsid w:val="3DFA4C63"/>
    <w:rsid w:val="3E0A2F4F"/>
    <w:rsid w:val="3E361CC6"/>
    <w:rsid w:val="3E740BA9"/>
    <w:rsid w:val="3E827277"/>
    <w:rsid w:val="3EB7463B"/>
    <w:rsid w:val="3EEF55E1"/>
    <w:rsid w:val="3EF47170"/>
    <w:rsid w:val="3F38095C"/>
    <w:rsid w:val="3F3918B9"/>
    <w:rsid w:val="3F453FBF"/>
    <w:rsid w:val="3FA2027B"/>
    <w:rsid w:val="3FAD7E28"/>
    <w:rsid w:val="3FE5244F"/>
    <w:rsid w:val="403E4B4A"/>
    <w:rsid w:val="40792CC6"/>
    <w:rsid w:val="40E308CF"/>
    <w:rsid w:val="41165C11"/>
    <w:rsid w:val="412F19CE"/>
    <w:rsid w:val="41371D0B"/>
    <w:rsid w:val="41AC3A66"/>
    <w:rsid w:val="422448A8"/>
    <w:rsid w:val="422C110E"/>
    <w:rsid w:val="422D5EE0"/>
    <w:rsid w:val="42450798"/>
    <w:rsid w:val="42835669"/>
    <w:rsid w:val="42982832"/>
    <w:rsid w:val="42AF3321"/>
    <w:rsid w:val="42B03E62"/>
    <w:rsid w:val="43005081"/>
    <w:rsid w:val="43106E28"/>
    <w:rsid w:val="432C4933"/>
    <w:rsid w:val="434270E1"/>
    <w:rsid w:val="43460309"/>
    <w:rsid w:val="434B0D98"/>
    <w:rsid w:val="4393774E"/>
    <w:rsid w:val="43AF6B95"/>
    <w:rsid w:val="43D2256A"/>
    <w:rsid w:val="43F22A0C"/>
    <w:rsid w:val="43F96B0C"/>
    <w:rsid w:val="4409525B"/>
    <w:rsid w:val="442926E8"/>
    <w:rsid w:val="44DE6FB2"/>
    <w:rsid w:val="452B30F7"/>
    <w:rsid w:val="45340B19"/>
    <w:rsid w:val="45522A5B"/>
    <w:rsid w:val="457464FF"/>
    <w:rsid w:val="457924C4"/>
    <w:rsid w:val="4586230F"/>
    <w:rsid w:val="4590404F"/>
    <w:rsid w:val="45AE3967"/>
    <w:rsid w:val="45BD711A"/>
    <w:rsid w:val="45CD7305"/>
    <w:rsid w:val="45CE164C"/>
    <w:rsid w:val="45E9322E"/>
    <w:rsid w:val="46015B02"/>
    <w:rsid w:val="460F12FE"/>
    <w:rsid w:val="462920ED"/>
    <w:rsid w:val="46336F89"/>
    <w:rsid w:val="467A51CD"/>
    <w:rsid w:val="46851C1C"/>
    <w:rsid w:val="469D5BC3"/>
    <w:rsid w:val="46B57C96"/>
    <w:rsid w:val="46F5302E"/>
    <w:rsid w:val="471550C1"/>
    <w:rsid w:val="475F5517"/>
    <w:rsid w:val="476223E5"/>
    <w:rsid w:val="47754756"/>
    <w:rsid w:val="479301F5"/>
    <w:rsid w:val="48041DDF"/>
    <w:rsid w:val="4822144D"/>
    <w:rsid w:val="486F7751"/>
    <w:rsid w:val="48761190"/>
    <w:rsid w:val="48825F81"/>
    <w:rsid w:val="488A76ED"/>
    <w:rsid w:val="48A02ABF"/>
    <w:rsid w:val="48A57BCC"/>
    <w:rsid w:val="48A96B6F"/>
    <w:rsid w:val="48CC3CB8"/>
    <w:rsid w:val="48EE44D1"/>
    <w:rsid w:val="48FE7046"/>
    <w:rsid w:val="49252F44"/>
    <w:rsid w:val="4947459D"/>
    <w:rsid w:val="49552E44"/>
    <w:rsid w:val="495E5658"/>
    <w:rsid w:val="49CD20A4"/>
    <w:rsid w:val="49E40D6D"/>
    <w:rsid w:val="49E65A45"/>
    <w:rsid w:val="4AC5290E"/>
    <w:rsid w:val="4B2E07A6"/>
    <w:rsid w:val="4B756AEA"/>
    <w:rsid w:val="4B9B1560"/>
    <w:rsid w:val="4BA603F4"/>
    <w:rsid w:val="4BB6144D"/>
    <w:rsid w:val="4BB67D1F"/>
    <w:rsid w:val="4C102002"/>
    <w:rsid w:val="4C5D7857"/>
    <w:rsid w:val="4C6032BC"/>
    <w:rsid w:val="4C673669"/>
    <w:rsid w:val="4CBE1EBB"/>
    <w:rsid w:val="4D1F2C10"/>
    <w:rsid w:val="4D58339B"/>
    <w:rsid w:val="4D79211C"/>
    <w:rsid w:val="4DAC24FE"/>
    <w:rsid w:val="4DBE020F"/>
    <w:rsid w:val="4DC112FA"/>
    <w:rsid w:val="4DF302A8"/>
    <w:rsid w:val="4E152334"/>
    <w:rsid w:val="4E527B51"/>
    <w:rsid w:val="4E665704"/>
    <w:rsid w:val="4E6B2B20"/>
    <w:rsid w:val="4E9E4A4A"/>
    <w:rsid w:val="4EB74ACC"/>
    <w:rsid w:val="4EC41D98"/>
    <w:rsid w:val="4ECD3CCE"/>
    <w:rsid w:val="4EE65810"/>
    <w:rsid w:val="4F093BAF"/>
    <w:rsid w:val="4F1E769E"/>
    <w:rsid w:val="4F9C5F52"/>
    <w:rsid w:val="50101627"/>
    <w:rsid w:val="50435813"/>
    <w:rsid w:val="50717D51"/>
    <w:rsid w:val="50854860"/>
    <w:rsid w:val="51022919"/>
    <w:rsid w:val="51190BF1"/>
    <w:rsid w:val="51262D4A"/>
    <w:rsid w:val="5144653C"/>
    <w:rsid w:val="515A6E4F"/>
    <w:rsid w:val="5172266B"/>
    <w:rsid w:val="51986563"/>
    <w:rsid w:val="51AE077E"/>
    <w:rsid w:val="51B12165"/>
    <w:rsid w:val="51BA5990"/>
    <w:rsid w:val="51BC66B3"/>
    <w:rsid w:val="51F97EC7"/>
    <w:rsid w:val="520B192F"/>
    <w:rsid w:val="52143B10"/>
    <w:rsid w:val="5228035D"/>
    <w:rsid w:val="522C1D68"/>
    <w:rsid w:val="524C4102"/>
    <w:rsid w:val="52510FC7"/>
    <w:rsid w:val="526A3C1D"/>
    <w:rsid w:val="52A73121"/>
    <w:rsid w:val="52D15BC7"/>
    <w:rsid w:val="52E32ACE"/>
    <w:rsid w:val="52F019AA"/>
    <w:rsid w:val="53480ED1"/>
    <w:rsid w:val="53C338F3"/>
    <w:rsid w:val="53C728E8"/>
    <w:rsid w:val="53D21B7A"/>
    <w:rsid w:val="53DB5DA2"/>
    <w:rsid w:val="53DE138C"/>
    <w:rsid w:val="53E5043C"/>
    <w:rsid w:val="53ED48CD"/>
    <w:rsid w:val="5405169E"/>
    <w:rsid w:val="54183FD0"/>
    <w:rsid w:val="541C6241"/>
    <w:rsid w:val="542824AD"/>
    <w:rsid w:val="542F4B05"/>
    <w:rsid w:val="5441112D"/>
    <w:rsid w:val="54436B28"/>
    <w:rsid w:val="54576514"/>
    <w:rsid w:val="54883127"/>
    <w:rsid w:val="54A17997"/>
    <w:rsid w:val="54D31C00"/>
    <w:rsid w:val="54EC457E"/>
    <w:rsid w:val="55167ACB"/>
    <w:rsid w:val="55482CE1"/>
    <w:rsid w:val="55622FFA"/>
    <w:rsid w:val="55913743"/>
    <w:rsid w:val="55AD5CED"/>
    <w:rsid w:val="55F20491"/>
    <w:rsid w:val="561C4688"/>
    <w:rsid w:val="56225445"/>
    <w:rsid w:val="5663346C"/>
    <w:rsid w:val="56634119"/>
    <w:rsid w:val="566D0A80"/>
    <w:rsid w:val="568D6B0C"/>
    <w:rsid w:val="56CA5E30"/>
    <w:rsid w:val="571403E1"/>
    <w:rsid w:val="571B1A6D"/>
    <w:rsid w:val="576D604E"/>
    <w:rsid w:val="57A431BC"/>
    <w:rsid w:val="57B170D5"/>
    <w:rsid w:val="57B40B86"/>
    <w:rsid w:val="57BD0087"/>
    <w:rsid w:val="57F01416"/>
    <w:rsid w:val="582C3954"/>
    <w:rsid w:val="58672816"/>
    <w:rsid w:val="58722355"/>
    <w:rsid w:val="58810838"/>
    <w:rsid w:val="58A21445"/>
    <w:rsid w:val="58A80737"/>
    <w:rsid w:val="58C56F16"/>
    <w:rsid w:val="58C9792A"/>
    <w:rsid w:val="58D770CB"/>
    <w:rsid w:val="58E84614"/>
    <w:rsid w:val="58EE6532"/>
    <w:rsid w:val="58F213BE"/>
    <w:rsid w:val="59023A81"/>
    <w:rsid w:val="59390340"/>
    <w:rsid w:val="5940089F"/>
    <w:rsid w:val="5950270D"/>
    <w:rsid w:val="596211E6"/>
    <w:rsid w:val="59A41988"/>
    <w:rsid w:val="59B01613"/>
    <w:rsid w:val="59C82A63"/>
    <w:rsid w:val="59E1109F"/>
    <w:rsid w:val="59E44350"/>
    <w:rsid w:val="59E91EB6"/>
    <w:rsid w:val="59EF7B9C"/>
    <w:rsid w:val="59FF2229"/>
    <w:rsid w:val="5A3C6F88"/>
    <w:rsid w:val="5A3F21F7"/>
    <w:rsid w:val="5A6F4C8B"/>
    <w:rsid w:val="5A93373D"/>
    <w:rsid w:val="5A9E6276"/>
    <w:rsid w:val="5AA41F64"/>
    <w:rsid w:val="5AAA0EB4"/>
    <w:rsid w:val="5AB07DD6"/>
    <w:rsid w:val="5ABC3EFD"/>
    <w:rsid w:val="5AF251E8"/>
    <w:rsid w:val="5B312E2C"/>
    <w:rsid w:val="5B36210B"/>
    <w:rsid w:val="5B4B1565"/>
    <w:rsid w:val="5B650751"/>
    <w:rsid w:val="5B6E63D9"/>
    <w:rsid w:val="5B73693A"/>
    <w:rsid w:val="5B8F10F0"/>
    <w:rsid w:val="5BA63450"/>
    <w:rsid w:val="5BBA635A"/>
    <w:rsid w:val="5BEA2CFB"/>
    <w:rsid w:val="5BEB53FC"/>
    <w:rsid w:val="5BEE6869"/>
    <w:rsid w:val="5BF95E81"/>
    <w:rsid w:val="5C2238ED"/>
    <w:rsid w:val="5C294BF2"/>
    <w:rsid w:val="5C374062"/>
    <w:rsid w:val="5C774E11"/>
    <w:rsid w:val="5C786A72"/>
    <w:rsid w:val="5C874242"/>
    <w:rsid w:val="5C8C2A75"/>
    <w:rsid w:val="5C8E0DBA"/>
    <w:rsid w:val="5CA15BA1"/>
    <w:rsid w:val="5CFA65D6"/>
    <w:rsid w:val="5D2327D9"/>
    <w:rsid w:val="5D373E12"/>
    <w:rsid w:val="5DB7522D"/>
    <w:rsid w:val="5DCB0A15"/>
    <w:rsid w:val="5E0A0949"/>
    <w:rsid w:val="5E1C4640"/>
    <w:rsid w:val="5E252910"/>
    <w:rsid w:val="5EAC6A40"/>
    <w:rsid w:val="5EE11119"/>
    <w:rsid w:val="5EE16996"/>
    <w:rsid w:val="5F0B38F0"/>
    <w:rsid w:val="5F1132B0"/>
    <w:rsid w:val="5F3F5AC6"/>
    <w:rsid w:val="5F5B050A"/>
    <w:rsid w:val="5F751F44"/>
    <w:rsid w:val="5F840F55"/>
    <w:rsid w:val="5FB053A7"/>
    <w:rsid w:val="5FF228A2"/>
    <w:rsid w:val="605145EE"/>
    <w:rsid w:val="60526BDA"/>
    <w:rsid w:val="60664F2E"/>
    <w:rsid w:val="60847E57"/>
    <w:rsid w:val="608F1CB9"/>
    <w:rsid w:val="60B96862"/>
    <w:rsid w:val="60FB2BB6"/>
    <w:rsid w:val="61041A16"/>
    <w:rsid w:val="61111FC4"/>
    <w:rsid w:val="61210EDB"/>
    <w:rsid w:val="61477910"/>
    <w:rsid w:val="6189294E"/>
    <w:rsid w:val="619162F3"/>
    <w:rsid w:val="61A42CA9"/>
    <w:rsid w:val="62034080"/>
    <w:rsid w:val="621949F9"/>
    <w:rsid w:val="621D6212"/>
    <w:rsid w:val="62551F9D"/>
    <w:rsid w:val="62773345"/>
    <w:rsid w:val="6283582A"/>
    <w:rsid w:val="62973A94"/>
    <w:rsid w:val="629C5E1D"/>
    <w:rsid w:val="62A604DF"/>
    <w:rsid w:val="631F4B72"/>
    <w:rsid w:val="63223CE6"/>
    <w:rsid w:val="63A66B6F"/>
    <w:rsid w:val="63AB5933"/>
    <w:rsid w:val="63C86E42"/>
    <w:rsid w:val="63CD08D5"/>
    <w:rsid w:val="63EE3266"/>
    <w:rsid w:val="64001958"/>
    <w:rsid w:val="6403116D"/>
    <w:rsid w:val="641C266B"/>
    <w:rsid w:val="64504D2E"/>
    <w:rsid w:val="64560E79"/>
    <w:rsid w:val="646E787F"/>
    <w:rsid w:val="649D2991"/>
    <w:rsid w:val="64B50AFC"/>
    <w:rsid w:val="64ED07CF"/>
    <w:rsid w:val="65321CF1"/>
    <w:rsid w:val="65602B8B"/>
    <w:rsid w:val="656E7B61"/>
    <w:rsid w:val="65FA336B"/>
    <w:rsid w:val="66332707"/>
    <w:rsid w:val="664740A1"/>
    <w:rsid w:val="66D07376"/>
    <w:rsid w:val="67432184"/>
    <w:rsid w:val="67552FD2"/>
    <w:rsid w:val="677336AA"/>
    <w:rsid w:val="679A37BE"/>
    <w:rsid w:val="68154BD6"/>
    <w:rsid w:val="6833584B"/>
    <w:rsid w:val="684454F4"/>
    <w:rsid w:val="68576BDB"/>
    <w:rsid w:val="68674E9B"/>
    <w:rsid w:val="688C05AA"/>
    <w:rsid w:val="68907F79"/>
    <w:rsid w:val="6896165D"/>
    <w:rsid w:val="6898168E"/>
    <w:rsid w:val="68D6762B"/>
    <w:rsid w:val="68ED3EA2"/>
    <w:rsid w:val="69122B23"/>
    <w:rsid w:val="69312623"/>
    <w:rsid w:val="697072E0"/>
    <w:rsid w:val="697D5D97"/>
    <w:rsid w:val="697F00C6"/>
    <w:rsid w:val="69A0641E"/>
    <w:rsid w:val="69C00125"/>
    <w:rsid w:val="69C85DF2"/>
    <w:rsid w:val="69E84634"/>
    <w:rsid w:val="69E90233"/>
    <w:rsid w:val="6A1132E2"/>
    <w:rsid w:val="6A29792C"/>
    <w:rsid w:val="6A42366B"/>
    <w:rsid w:val="6A5716DF"/>
    <w:rsid w:val="6A64634D"/>
    <w:rsid w:val="6ABC6F90"/>
    <w:rsid w:val="6AC55859"/>
    <w:rsid w:val="6AFA137A"/>
    <w:rsid w:val="6B287139"/>
    <w:rsid w:val="6B5073E6"/>
    <w:rsid w:val="6B83234C"/>
    <w:rsid w:val="6BC24763"/>
    <w:rsid w:val="6C194B9E"/>
    <w:rsid w:val="6C42183A"/>
    <w:rsid w:val="6C432383"/>
    <w:rsid w:val="6C5A7F46"/>
    <w:rsid w:val="6CAD59C6"/>
    <w:rsid w:val="6CB03070"/>
    <w:rsid w:val="6CC953B2"/>
    <w:rsid w:val="6CF23F46"/>
    <w:rsid w:val="6CFC5A53"/>
    <w:rsid w:val="6D064055"/>
    <w:rsid w:val="6D0D1E05"/>
    <w:rsid w:val="6D2C2B75"/>
    <w:rsid w:val="6D405F5F"/>
    <w:rsid w:val="6D430F2D"/>
    <w:rsid w:val="6D6F0CDC"/>
    <w:rsid w:val="6DA716E0"/>
    <w:rsid w:val="6DCB3709"/>
    <w:rsid w:val="6DD8201C"/>
    <w:rsid w:val="6DEB3EDF"/>
    <w:rsid w:val="6DF114AE"/>
    <w:rsid w:val="6E155214"/>
    <w:rsid w:val="6E182CB9"/>
    <w:rsid w:val="6E2A2E33"/>
    <w:rsid w:val="6E327DBD"/>
    <w:rsid w:val="6E794633"/>
    <w:rsid w:val="6EF2710D"/>
    <w:rsid w:val="6F053BEE"/>
    <w:rsid w:val="6F11396D"/>
    <w:rsid w:val="6F5A3782"/>
    <w:rsid w:val="6F960F03"/>
    <w:rsid w:val="6FB666A0"/>
    <w:rsid w:val="6FC036A3"/>
    <w:rsid w:val="6FCD303B"/>
    <w:rsid w:val="6FD54AE3"/>
    <w:rsid w:val="705A2657"/>
    <w:rsid w:val="708A3D47"/>
    <w:rsid w:val="70A8222A"/>
    <w:rsid w:val="70AE52B6"/>
    <w:rsid w:val="70B05AAF"/>
    <w:rsid w:val="70BC3210"/>
    <w:rsid w:val="70BD75EC"/>
    <w:rsid w:val="70D2190D"/>
    <w:rsid w:val="70FE6BE7"/>
    <w:rsid w:val="71097C40"/>
    <w:rsid w:val="71920121"/>
    <w:rsid w:val="71AD5DFD"/>
    <w:rsid w:val="71E93E4F"/>
    <w:rsid w:val="71F074AB"/>
    <w:rsid w:val="721945CF"/>
    <w:rsid w:val="727F28EE"/>
    <w:rsid w:val="72D35ADA"/>
    <w:rsid w:val="72EB5373"/>
    <w:rsid w:val="730218E9"/>
    <w:rsid w:val="7315161C"/>
    <w:rsid w:val="73183FC2"/>
    <w:rsid w:val="732C1ED6"/>
    <w:rsid w:val="7337089B"/>
    <w:rsid w:val="736C0382"/>
    <w:rsid w:val="73771AD7"/>
    <w:rsid w:val="737A6CFD"/>
    <w:rsid w:val="739A7D73"/>
    <w:rsid w:val="73B35682"/>
    <w:rsid w:val="73BB04AC"/>
    <w:rsid w:val="73E85CE8"/>
    <w:rsid w:val="73F3567A"/>
    <w:rsid w:val="740B5D8F"/>
    <w:rsid w:val="741304F6"/>
    <w:rsid w:val="74182EC9"/>
    <w:rsid w:val="74416441"/>
    <w:rsid w:val="744525B3"/>
    <w:rsid w:val="74455FB0"/>
    <w:rsid w:val="749D05A4"/>
    <w:rsid w:val="74BD449E"/>
    <w:rsid w:val="74E123D5"/>
    <w:rsid w:val="7501002A"/>
    <w:rsid w:val="7501385A"/>
    <w:rsid w:val="7508648A"/>
    <w:rsid w:val="750B76AC"/>
    <w:rsid w:val="751100C8"/>
    <w:rsid w:val="752552EC"/>
    <w:rsid w:val="753C3043"/>
    <w:rsid w:val="755161C5"/>
    <w:rsid w:val="75991C8A"/>
    <w:rsid w:val="75C80BC8"/>
    <w:rsid w:val="75EA776A"/>
    <w:rsid w:val="76106212"/>
    <w:rsid w:val="762528D8"/>
    <w:rsid w:val="76335843"/>
    <w:rsid w:val="76343917"/>
    <w:rsid w:val="763561E5"/>
    <w:rsid w:val="763844B5"/>
    <w:rsid w:val="7666736B"/>
    <w:rsid w:val="76B32D12"/>
    <w:rsid w:val="76BA6383"/>
    <w:rsid w:val="76C63D80"/>
    <w:rsid w:val="76D33BD8"/>
    <w:rsid w:val="76F50ED2"/>
    <w:rsid w:val="776E6462"/>
    <w:rsid w:val="77A242B9"/>
    <w:rsid w:val="77E63999"/>
    <w:rsid w:val="7815136F"/>
    <w:rsid w:val="78156A7E"/>
    <w:rsid w:val="782915DC"/>
    <w:rsid w:val="78CA4AC6"/>
    <w:rsid w:val="78F83545"/>
    <w:rsid w:val="79785328"/>
    <w:rsid w:val="79A4468D"/>
    <w:rsid w:val="79CB769E"/>
    <w:rsid w:val="79E32474"/>
    <w:rsid w:val="7A0D4308"/>
    <w:rsid w:val="7A123A1F"/>
    <w:rsid w:val="7A303414"/>
    <w:rsid w:val="7A350E14"/>
    <w:rsid w:val="7A357CBF"/>
    <w:rsid w:val="7A3E3545"/>
    <w:rsid w:val="7A505C34"/>
    <w:rsid w:val="7A6A68BC"/>
    <w:rsid w:val="7A760A8A"/>
    <w:rsid w:val="7AA0191B"/>
    <w:rsid w:val="7ABD27FA"/>
    <w:rsid w:val="7AFC240E"/>
    <w:rsid w:val="7B0F1047"/>
    <w:rsid w:val="7B2931E5"/>
    <w:rsid w:val="7B8F5377"/>
    <w:rsid w:val="7BAC38C8"/>
    <w:rsid w:val="7BE14791"/>
    <w:rsid w:val="7BF11D7E"/>
    <w:rsid w:val="7BFA0014"/>
    <w:rsid w:val="7C053426"/>
    <w:rsid w:val="7C154965"/>
    <w:rsid w:val="7C2B1D27"/>
    <w:rsid w:val="7C3367ED"/>
    <w:rsid w:val="7C821576"/>
    <w:rsid w:val="7CC6433B"/>
    <w:rsid w:val="7CF96B07"/>
    <w:rsid w:val="7D4526E5"/>
    <w:rsid w:val="7D474AC8"/>
    <w:rsid w:val="7DC1253A"/>
    <w:rsid w:val="7DCD5360"/>
    <w:rsid w:val="7DCF4ABD"/>
    <w:rsid w:val="7E142797"/>
    <w:rsid w:val="7E2F149C"/>
    <w:rsid w:val="7E3348CF"/>
    <w:rsid w:val="7E500054"/>
    <w:rsid w:val="7E82336C"/>
    <w:rsid w:val="7E90331C"/>
    <w:rsid w:val="7EA82318"/>
    <w:rsid w:val="7F0B0C37"/>
    <w:rsid w:val="7F126CED"/>
    <w:rsid w:val="7F1C27D0"/>
    <w:rsid w:val="7F265CBA"/>
    <w:rsid w:val="7F305727"/>
    <w:rsid w:val="7F3B388B"/>
    <w:rsid w:val="7F3D5CB8"/>
    <w:rsid w:val="7F9D7064"/>
    <w:rsid w:val="7FCD54B1"/>
    <w:rsid w:val="7FD73260"/>
    <w:rsid w:val="7FDC5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120" w:after="120"/>
      <w:outlineLvl w:val="3"/>
    </w:pPr>
    <w:rPr>
      <w:rFonts w:ascii="Arial" w:hAnsi="Arial" w:eastAsia="黑体"/>
      <w:b/>
      <w:kern w:val="0"/>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List 3"/>
    <w:basedOn w:val="1"/>
    <w:qFormat/>
    <w:uiPriority w:val="0"/>
    <w:pPr>
      <w:ind w:left="1260" w:hanging="420"/>
    </w:pPr>
    <w:rPr>
      <w:szCs w:val="20"/>
    </w:rPr>
  </w:style>
  <w:style w:type="paragraph" w:styleId="8">
    <w:name w:val="Normal Indent"/>
    <w:basedOn w:val="1"/>
    <w:qFormat/>
    <w:uiPriority w:val="0"/>
    <w:pPr>
      <w:ind w:firstLine="420"/>
    </w:pPr>
    <w:rPr>
      <w:szCs w:val="20"/>
    </w:rPr>
  </w:style>
  <w:style w:type="paragraph" w:styleId="9">
    <w:name w:val="annotation text"/>
    <w:basedOn w:val="1"/>
    <w:semiHidden/>
    <w:unhideWhenUsed/>
    <w:qFormat/>
    <w:uiPriority w:val="99"/>
    <w:pPr>
      <w:jc w:val="left"/>
    </w:pPr>
  </w:style>
  <w:style w:type="paragraph" w:styleId="10">
    <w:name w:val="Body Text"/>
    <w:basedOn w:val="1"/>
    <w:next w:val="1"/>
    <w:link w:val="67"/>
    <w:unhideWhenUsed/>
    <w:qFormat/>
    <w:uiPriority w:val="99"/>
    <w:pPr>
      <w:spacing w:after="120"/>
    </w:pPr>
    <w:rPr>
      <w:rFonts w:ascii="Times New Roman" w:hAnsi="Times New Roman"/>
      <w:kern w:val="0"/>
      <w:sz w:val="20"/>
    </w:rPr>
  </w:style>
  <w:style w:type="paragraph" w:styleId="11">
    <w:name w:val="Body Text Indent"/>
    <w:basedOn w:val="1"/>
    <w:link w:val="56"/>
    <w:unhideWhenUsed/>
    <w:qFormat/>
    <w:uiPriority w:val="0"/>
    <w:pPr>
      <w:spacing w:after="120"/>
      <w:ind w:left="420" w:leftChars="200"/>
    </w:pPr>
    <w:rPr>
      <w:rFonts w:ascii="Times New Roman" w:hAnsi="Times New Roman"/>
      <w:kern w:val="0"/>
      <w:sz w:val="20"/>
    </w:rPr>
  </w:style>
  <w:style w:type="paragraph" w:styleId="12">
    <w:name w:val="toc 3"/>
    <w:basedOn w:val="1"/>
    <w:next w:val="1"/>
    <w:unhideWhenUsed/>
    <w:qFormat/>
    <w:uiPriority w:val="0"/>
    <w:pPr>
      <w:ind w:left="420"/>
      <w:jc w:val="left"/>
    </w:pPr>
    <w:rPr>
      <w:i/>
      <w:sz w:val="20"/>
      <w:szCs w:val="20"/>
    </w:rPr>
  </w:style>
  <w:style w:type="paragraph" w:styleId="13">
    <w:name w:val="Plain Text"/>
    <w:basedOn w:val="1"/>
    <w:link w:val="63"/>
    <w:unhideWhenUsed/>
    <w:qFormat/>
    <w:uiPriority w:val="99"/>
    <w:rPr>
      <w:rFonts w:ascii="宋体" w:hAnsi="Courier New"/>
      <w:kern w:val="0"/>
      <w:sz w:val="20"/>
      <w:szCs w:val="20"/>
    </w:rPr>
  </w:style>
  <w:style w:type="paragraph" w:styleId="14">
    <w:name w:val="Body Text Indent 2"/>
    <w:basedOn w:val="1"/>
    <w:unhideWhenUsed/>
    <w:qFormat/>
    <w:uiPriority w:val="99"/>
    <w:pPr>
      <w:spacing w:line="420" w:lineRule="exact"/>
      <w:ind w:firstLine="525"/>
    </w:pPr>
    <w:rPr>
      <w:kern w:val="0"/>
      <w:sz w:val="24"/>
      <w:szCs w:val="20"/>
    </w:rPr>
  </w:style>
  <w:style w:type="paragraph" w:styleId="15">
    <w:name w:val="Balloon Text"/>
    <w:basedOn w:val="1"/>
    <w:link w:val="60"/>
    <w:unhideWhenUsed/>
    <w:qFormat/>
    <w:uiPriority w:val="99"/>
    <w:rPr>
      <w:rFonts w:ascii="Times New Roman" w:hAnsi="Times New Roman"/>
      <w:kern w:val="0"/>
      <w:sz w:val="18"/>
      <w:szCs w:val="18"/>
    </w:rPr>
  </w:style>
  <w:style w:type="paragraph" w:styleId="16">
    <w:name w:val="footer"/>
    <w:basedOn w:val="1"/>
    <w:link w:val="69"/>
    <w:unhideWhenUsed/>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pPr>
      <w:adjustRightInd w:val="0"/>
      <w:jc w:val="left"/>
      <w:textAlignment w:val="baseline"/>
    </w:pPr>
    <w:rPr>
      <w:rFonts w:eastAsia="楷体_GB2312"/>
      <w:sz w:val="24"/>
    </w:r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Title"/>
    <w:basedOn w:val="1"/>
    <w:next w:val="1"/>
    <w:link w:val="57"/>
    <w:qFormat/>
    <w:uiPriority w:val="10"/>
    <w:pPr>
      <w:spacing w:before="240" w:after="60"/>
      <w:jc w:val="center"/>
      <w:outlineLvl w:val="0"/>
    </w:pPr>
    <w:rPr>
      <w:rFonts w:ascii="Cambria" w:hAnsi="Cambria"/>
      <w:b/>
      <w:bCs/>
      <w:sz w:val="32"/>
      <w:szCs w:val="32"/>
    </w:rPr>
  </w:style>
  <w:style w:type="paragraph" w:styleId="22">
    <w:name w:val="Body Text First Indent 2"/>
    <w:basedOn w:val="11"/>
    <w:qFormat/>
    <w:uiPriority w:val="0"/>
    <w:pPr>
      <w:ind w:firstLine="20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color w:val="666666"/>
      <w:u w:val="none"/>
    </w:rPr>
  </w:style>
  <w:style w:type="character" w:styleId="28">
    <w:name w:val="annotation reference"/>
    <w:basedOn w:val="25"/>
    <w:semiHidden/>
    <w:unhideWhenUsed/>
    <w:qFormat/>
    <w:uiPriority w:val="99"/>
    <w:rPr>
      <w:sz w:val="21"/>
      <w:szCs w:val="21"/>
    </w:rPr>
  </w:style>
  <w:style w:type="paragraph" w:customStyle="1" w:styleId="29">
    <w:name w:val="列出段落21"/>
    <w:basedOn w:val="1"/>
    <w:qFormat/>
    <w:uiPriority w:val="34"/>
    <w:pPr>
      <w:adjustRightInd w:val="0"/>
      <w:snapToGrid w:val="0"/>
      <w:ind w:firstLine="420" w:firstLineChars="200"/>
    </w:pPr>
  </w:style>
  <w:style w:type="paragraph" w:customStyle="1" w:styleId="30">
    <w:name w:val="Normal_14_0"/>
    <w:qFormat/>
    <w:uiPriority w:val="0"/>
    <w:pPr>
      <w:spacing w:before="120" w:after="240"/>
      <w:jc w:val="both"/>
    </w:pPr>
    <w:rPr>
      <w:rFonts w:ascii="Calibri" w:hAnsi="Calibri" w:eastAsia="宋体" w:cs="Times New Roman"/>
      <w:sz w:val="22"/>
      <w:szCs w:val="22"/>
      <w:lang w:val="en-US" w:eastAsia="en-US" w:bidi="ar-SA"/>
    </w:rPr>
  </w:style>
  <w:style w:type="paragraph" w:customStyle="1" w:styleId="31">
    <w:name w:val="Normal_16_0"/>
    <w:qFormat/>
    <w:uiPriority w:val="0"/>
    <w:pPr>
      <w:spacing w:before="120" w:after="240"/>
      <w:jc w:val="both"/>
    </w:pPr>
    <w:rPr>
      <w:rFonts w:ascii="Calibri" w:hAnsi="Calibri" w:eastAsia="宋体" w:cs="Times New Roman"/>
      <w:sz w:val="22"/>
      <w:szCs w:val="22"/>
      <w:lang w:val="en-US" w:eastAsia="en-US" w:bidi="ar-SA"/>
    </w:rPr>
  </w:style>
  <w:style w:type="paragraph" w:customStyle="1" w:styleId="32">
    <w:name w:val="Normal_17_0"/>
    <w:qFormat/>
    <w:uiPriority w:val="0"/>
    <w:pPr>
      <w:spacing w:before="120" w:after="240"/>
      <w:jc w:val="both"/>
    </w:pPr>
    <w:rPr>
      <w:rFonts w:ascii="Calibri" w:hAnsi="Calibri" w:eastAsia="宋体" w:cs="Times New Roman"/>
      <w:sz w:val="22"/>
      <w:szCs w:val="22"/>
      <w:lang w:val="en-US" w:eastAsia="en-US" w:bidi="ar-SA"/>
    </w:rPr>
  </w:style>
  <w:style w:type="paragraph" w:customStyle="1" w:styleId="33">
    <w:name w:val="p15"/>
    <w:basedOn w:val="1"/>
    <w:qFormat/>
    <w:uiPriority w:val="0"/>
    <w:pPr>
      <w:widowControl/>
    </w:pPr>
    <w:rPr>
      <w:rFonts w:ascii="宋体" w:hAnsi="宋体" w:cs="宋体"/>
      <w:kern w:val="0"/>
      <w:sz w:val="28"/>
      <w:szCs w:val="28"/>
    </w:rPr>
  </w:style>
  <w:style w:type="paragraph" w:customStyle="1" w:styleId="34">
    <w:name w:val="Normal_18_0"/>
    <w:qFormat/>
    <w:uiPriority w:val="0"/>
    <w:pPr>
      <w:spacing w:before="120" w:after="240"/>
      <w:jc w:val="both"/>
    </w:pPr>
    <w:rPr>
      <w:rFonts w:ascii="Calibri" w:hAnsi="Calibri" w:eastAsia="宋体" w:cs="Times New Roman"/>
      <w:sz w:val="22"/>
      <w:szCs w:val="22"/>
      <w:lang w:val="en-US" w:eastAsia="en-US" w:bidi="ar-SA"/>
    </w:rPr>
  </w:style>
  <w:style w:type="paragraph" w:customStyle="1" w:styleId="35">
    <w:name w:val="列出段落2"/>
    <w:basedOn w:val="1"/>
    <w:qFormat/>
    <w:uiPriority w:val="34"/>
    <w:pPr>
      <w:adjustRightInd w:val="0"/>
      <w:snapToGrid w:val="0"/>
      <w:ind w:firstLine="420" w:firstLineChars="200"/>
    </w:pPr>
  </w:style>
  <w:style w:type="paragraph" w:customStyle="1" w:styleId="36">
    <w:name w:val="Normal_20_0"/>
    <w:qFormat/>
    <w:uiPriority w:val="0"/>
    <w:pPr>
      <w:spacing w:before="120" w:after="240"/>
      <w:jc w:val="both"/>
    </w:pPr>
    <w:rPr>
      <w:rFonts w:ascii="Calibri" w:hAnsi="Calibri" w:eastAsia="宋体" w:cs="Times New Roman"/>
      <w:sz w:val="22"/>
      <w:szCs w:val="22"/>
      <w:lang w:val="en-US" w:eastAsia="en-US" w:bidi="ar-SA"/>
    </w:rPr>
  </w:style>
  <w:style w:type="paragraph" w:customStyle="1" w:styleId="37">
    <w:name w:val="纯文本1"/>
    <w:basedOn w:val="1"/>
    <w:qFormat/>
    <w:uiPriority w:val="0"/>
    <w:pPr>
      <w:adjustRightInd w:val="0"/>
    </w:pPr>
    <w:rPr>
      <w:rFonts w:ascii="宋体" w:hAnsi="Courier New" w:eastAsia="楷体_GB2312"/>
      <w:sz w:val="28"/>
      <w:szCs w:val="20"/>
    </w:rPr>
  </w:style>
  <w:style w:type="paragraph" w:customStyle="1" w:styleId="38">
    <w:name w:val="List Paragraph1"/>
    <w:basedOn w:val="1"/>
    <w:qFormat/>
    <w:uiPriority w:val="99"/>
    <w:pPr>
      <w:ind w:firstLine="420" w:firstLineChars="200"/>
    </w:pPr>
    <w:rPr>
      <w:szCs w:val="22"/>
    </w:rPr>
  </w:style>
  <w:style w:type="paragraph" w:customStyle="1" w:styleId="39">
    <w:name w:val="正文缩进2格"/>
    <w:basedOn w:val="1"/>
    <w:link w:val="59"/>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Normal_15_0"/>
    <w:qFormat/>
    <w:uiPriority w:val="0"/>
    <w:pPr>
      <w:spacing w:before="120" w:after="240"/>
      <w:jc w:val="both"/>
    </w:pPr>
    <w:rPr>
      <w:rFonts w:ascii="Calibri" w:hAnsi="Calibri" w:eastAsia="宋体" w:cs="Times New Roman"/>
      <w:sz w:val="22"/>
      <w:szCs w:val="22"/>
      <w:lang w:val="en-US" w:eastAsia="en-US" w:bidi="ar-SA"/>
    </w:rPr>
  </w:style>
  <w:style w:type="paragraph" w:customStyle="1" w:styleId="41">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2">
    <w:name w:val="Normal_30"/>
    <w:qFormat/>
    <w:uiPriority w:val="0"/>
    <w:pPr>
      <w:spacing w:before="120" w:after="240"/>
      <w:jc w:val="both"/>
    </w:pPr>
    <w:rPr>
      <w:rFonts w:ascii="Calibri" w:hAnsi="Calibri" w:eastAsia="宋体" w:cs="Times New Roman"/>
      <w:sz w:val="22"/>
      <w:szCs w:val="22"/>
      <w:lang w:val="en-US" w:eastAsia="en-US" w:bidi="ar-SA"/>
    </w:rPr>
  </w:style>
  <w:style w:type="paragraph" w:customStyle="1" w:styleId="4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5">
    <w:name w:val="Normal_21_0"/>
    <w:qFormat/>
    <w:uiPriority w:val="0"/>
    <w:pPr>
      <w:spacing w:before="120" w:after="240"/>
      <w:jc w:val="both"/>
    </w:pPr>
    <w:rPr>
      <w:rFonts w:ascii="Calibri" w:hAnsi="Calibri" w:eastAsia="宋体" w:cs="Times New Roman"/>
      <w:sz w:val="22"/>
      <w:szCs w:val="22"/>
      <w:lang w:val="en-US" w:eastAsia="en-US" w:bidi="ar-SA"/>
    </w:rPr>
  </w:style>
  <w:style w:type="paragraph" w:customStyle="1" w:styleId="46">
    <w:name w:val="Normal_12_0"/>
    <w:qFormat/>
    <w:uiPriority w:val="0"/>
    <w:pPr>
      <w:spacing w:before="120" w:after="240"/>
      <w:jc w:val="both"/>
    </w:pPr>
    <w:rPr>
      <w:rFonts w:ascii="Calibri" w:hAnsi="Calibri" w:eastAsia="宋体" w:cs="Times New Roman"/>
      <w:sz w:val="22"/>
      <w:szCs w:val="22"/>
      <w:lang w:val="en-US" w:eastAsia="en-US" w:bidi="ar-SA"/>
    </w:rPr>
  </w:style>
  <w:style w:type="paragraph" w:customStyle="1" w:styleId="47">
    <w:name w:val="列出段落1"/>
    <w:basedOn w:val="1"/>
    <w:qFormat/>
    <w:uiPriority w:val="34"/>
    <w:pPr>
      <w:ind w:firstLine="420" w:firstLineChars="200"/>
    </w:pPr>
  </w:style>
  <w:style w:type="paragraph" w:customStyle="1" w:styleId="48">
    <w:name w:val="Normal_13_0"/>
    <w:qFormat/>
    <w:uiPriority w:val="0"/>
    <w:pPr>
      <w:spacing w:before="120" w:after="240"/>
      <w:jc w:val="both"/>
    </w:pPr>
    <w:rPr>
      <w:rFonts w:ascii="Calibri" w:hAnsi="Calibri" w:eastAsia="宋体" w:cs="Times New Roman"/>
      <w:sz w:val="22"/>
      <w:szCs w:val="22"/>
      <w:lang w:val="en-US" w:eastAsia="en-US" w:bidi="ar-SA"/>
    </w:rPr>
  </w:style>
  <w:style w:type="paragraph" w:customStyle="1" w:styleId="49">
    <w:name w:val="Normal_19_0"/>
    <w:qFormat/>
    <w:uiPriority w:val="0"/>
    <w:pPr>
      <w:spacing w:before="120" w:after="240"/>
      <w:jc w:val="both"/>
    </w:pPr>
    <w:rPr>
      <w:rFonts w:ascii="Calibri" w:hAnsi="Calibri" w:eastAsia="宋体" w:cs="Times New Roman"/>
      <w:sz w:val="22"/>
      <w:szCs w:val="22"/>
      <w:lang w:val="en-US" w:eastAsia="en-US" w:bidi="ar-SA"/>
    </w:rPr>
  </w:style>
  <w:style w:type="paragraph" w:customStyle="1" w:styleId="50">
    <w:name w:val="Normal_31"/>
    <w:qFormat/>
    <w:uiPriority w:val="0"/>
    <w:pPr>
      <w:spacing w:before="120" w:after="240"/>
      <w:jc w:val="both"/>
    </w:pPr>
    <w:rPr>
      <w:rFonts w:ascii="Calibri" w:hAnsi="Calibri" w:eastAsia="宋体" w:cs="Times New Roman"/>
      <w:sz w:val="22"/>
      <w:szCs w:val="22"/>
      <w:lang w:val="en-US" w:eastAsia="en-US" w:bidi="ar-SA"/>
    </w:rPr>
  </w:style>
  <w:style w:type="paragraph" w:customStyle="1" w:styleId="51">
    <w:name w:val="Normal_11_0"/>
    <w:qFormat/>
    <w:uiPriority w:val="0"/>
    <w:pPr>
      <w:spacing w:before="120" w:after="240"/>
      <w:jc w:val="both"/>
    </w:pPr>
    <w:rPr>
      <w:rFonts w:ascii="Calibri" w:hAnsi="Calibri" w:eastAsia="宋体" w:cs="Times New Roman"/>
      <w:sz w:val="22"/>
      <w:szCs w:val="22"/>
      <w:lang w:val="en-US" w:eastAsia="en-US" w:bidi="ar-SA"/>
    </w:rPr>
  </w:style>
  <w:style w:type="paragraph" w:customStyle="1" w:styleId="52">
    <w:name w:val="纯文本2"/>
    <w:basedOn w:val="1"/>
    <w:qFormat/>
    <w:uiPriority w:val="0"/>
    <w:rPr>
      <w:rFonts w:ascii="宋体" w:hAnsi="Courier New"/>
      <w:sz w:val="28"/>
    </w:rPr>
  </w:style>
  <w:style w:type="paragraph" w:customStyle="1" w:styleId="53">
    <w:name w:val="Normal_10_0"/>
    <w:qFormat/>
    <w:uiPriority w:val="0"/>
    <w:pPr>
      <w:spacing w:before="120" w:after="240"/>
      <w:jc w:val="both"/>
    </w:pPr>
    <w:rPr>
      <w:rFonts w:ascii="Calibri" w:hAnsi="Calibri" w:eastAsia="宋体" w:cs="Times New Roman"/>
      <w:sz w:val="22"/>
      <w:szCs w:val="22"/>
      <w:lang w:val="en-US" w:eastAsia="en-US" w:bidi="ar-SA"/>
    </w:rPr>
  </w:style>
  <w:style w:type="paragraph" w:styleId="54">
    <w:name w:val="List Paragraph"/>
    <w:basedOn w:val="1"/>
    <w:qFormat/>
    <w:uiPriority w:val="99"/>
    <w:pPr>
      <w:ind w:firstLine="420" w:firstLineChars="200"/>
    </w:pPr>
  </w:style>
  <w:style w:type="paragraph" w:customStyle="1" w:styleId="55">
    <w:name w:val="Normal_22_0"/>
    <w:qFormat/>
    <w:uiPriority w:val="0"/>
    <w:pPr>
      <w:spacing w:before="120" w:after="240"/>
      <w:jc w:val="both"/>
    </w:pPr>
    <w:rPr>
      <w:rFonts w:ascii="Calibri" w:hAnsi="Calibri" w:eastAsia="宋体" w:cs="Times New Roman"/>
      <w:sz w:val="22"/>
      <w:szCs w:val="22"/>
      <w:lang w:val="en-US" w:eastAsia="en-US" w:bidi="ar-SA"/>
    </w:rPr>
  </w:style>
  <w:style w:type="character" w:customStyle="1" w:styleId="56">
    <w:name w:val="正文文本缩进 字符"/>
    <w:link w:val="11"/>
    <w:semiHidden/>
    <w:qFormat/>
    <w:locked/>
    <w:uiPriority w:val="0"/>
    <w:rPr>
      <w:rFonts w:ascii="Times New Roman" w:hAnsi="Times New Roman" w:eastAsia="宋体" w:cs="Times New Roman"/>
      <w:szCs w:val="24"/>
    </w:rPr>
  </w:style>
  <w:style w:type="character" w:customStyle="1" w:styleId="57">
    <w:name w:val="标题 字符"/>
    <w:link w:val="21"/>
    <w:qFormat/>
    <w:uiPriority w:val="10"/>
    <w:rPr>
      <w:rFonts w:ascii="Cambria" w:hAnsi="Cambria" w:cs="Times New Roman"/>
      <w:b/>
      <w:bCs/>
      <w:kern w:val="2"/>
      <w:sz w:val="32"/>
      <w:szCs w:val="32"/>
    </w:rPr>
  </w:style>
  <w:style w:type="character" w:customStyle="1" w:styleId="58">
    <w:name w:val="页眉 字符"/>
    <w:link w:val="18"/>
    <w:semiHidden/>
    <w:qFormat/>
    <w:uiPriority w:val="99"/>
    <w:rPr>
      <w:sz w:val="18"/>
      <w:szCs w:val="18"/>
    </w:rPr>
  </w:style>
  <w:style w:type="character" w:customStyle="1" w:styleId="59">
    <w:name w:val="正文缩进2格 Char Char"/>
    <w:link w:val="39"/>
    <w:qFormat/>
    <w:locked/>
    <w:uiPriority w:val="0"/>
    <w:rPr>
      <w:rFonts w:ascii="仿宋_GB2312" w:hAnsi="宋体" w:eastAsia="仿宋_GB2312"/>
      <w:sz w:val="31"/>
      <w:szCs w:val="28"/>
    </w:rPr>
  </w:style>
  <w:style w:type="character" w:customStyle="1" w:styleId="60">
    <w:name w:val="批注框文本 字符"/>
    <w:link w:val="15"/>
    <w:semiHidden/>
    <w:qFormat/>
    <w:uiPriority w:val="99"/>
    <w:rPr>
      <w:rFonts w:ascii="Times New Roman" w:hAnsi="Times New Roman" w:eastAsia="宋体" w:cs="Times New Roman"/>
      <w:sz w:val="18"/>
      <w:szCs w:val="18"/>
    </w:rPr>
  </w:style>
  <w:style w:type="character" w:customStyle="1" w:styleId="61">
    <w:name w:val="infodetail1"/>
    <w:qFormat/>
    <w:uiPriority w:val="99"/>
    <w:rPr>
      <w:rFonts w:ascii="??" w:hAnsi="??" w:cs="??"/>
      <w:sz w:val="21"/>
      <w:szCs w:val="21"/>
    </w:rPr>
  </w:style>
  <w:style w:type="character" w:customStyle="1" w:styleId="62">
    <w:name w:val="纯文本 Char"/>
    <w:semiHidden/>
    <w:qFormat/>
    <w:uiPriority w:val="99"/>
    <w:rPr>
      <w:rFonts w:ascii="宋体" w:hAnsi="Courier New" w:eastAsia="宋体" w:cs="Courier New"/>
      <w:szCs w:val="21"/>
    </w:rPr>
  </w:style>
  <w:style w:type="character" w:customStyle="1" w:styleId="63">
    <w:name w:val="纯文本 字符"/>
    <w:link w:val="13"/>
    <w:semiHidden/>
    <w:qFormat/>
    <w:locked/>
    <w:uiPriority w:val="99"/>
    <w:rPr>
      <w:rFonts w:ascii="宋体" w:hAnsi="Courier New" w:eastAsia="宋体" w:cs="Times New Roman"/>
      <w:szCs w:val="20"/>
    </w:rPr>
  </w:style>
  <w:style w:type="character" w:customStyle="1" w:styleId="64">
    <w:name w:val="样式 小四 加粗"/>
    <w:qFormat/>
    <w:uiPriority w:val="99"/>
    <w:rPr>
      <w:rFonts w:eastAsia="黑体" w:cs="Times New Roman"/>
      <w:b/>
      <w:bCs/>
      <w:sz w:val="24"/>
    </w:rPr>
  </w:style>
  <w:style w:type="character" w:customStyle="1" w:styleId="65">
    <w:name w:val="正文文本缩进 Char"/>
    <w:semiHidden/>
    <w:qFormat/>
    <w:uiPriority w:val="99"/>
    <w:rPr>
      <w:rFonts w:ascii="Times New Roman" w:hAnsi="Times New Roman" w:eastAsia="宋体" w:cs="Times New Roman"/>
      <w:szCs w:val="24"/>
    </w:rPr>
  </w:style>
  <w:style w:type="character" w:customStyle="1" w:styleId="66">
    <w:name w:val="HTML 预设格式 字符"/>
    <w:link w:val="2"/>
    <w:qFormat/>
    <w:uiPriority w:val="99"/>
    <w:rPr>
      <w:rFonts w:ascii="宋体" w:hAnsi="宋体" w:eastAsia="宋体" w:cs="宋体"/>
      <w:kern w:val="0"/>
      <w:sz w:val="24"/>
      <w:szCs w:val="24"/>
    </w:rPr>
  </w:style>
  <w:style w:type="character" w:customStyle="1" w:styleId="67">
    <w:name w:val="正文文本 字符"/>
    <w:link w:val="10"/>
    <w:semiHidden/>
    <w:qFormat/>
    <w:uiPriority w:val="99"/>
    <w:rPr>
      <w:rFonts w:ascii="Times New Roman" w:hAnsi="Times New Roman" w:eastAsia="宋体" w:cs="Times New Roman"/>
      <w:szCs w:val="24"/>
    </w:rPr>
  </w:style>
  <w:style w:type="character" w:customStyle="1" w:styleId="68">
    <w:name w:val="font21"/>
    <w:qFormat/>
    <w:uiPriority w:val="0"/>
    <w:rPr>
      <w:rFonts w:hint="eastAsia" w:ascii="宋体" w:hAnsi="宋体" w:eastAsia="宋体" w:cs="宋体"/>
      <w:color w:val="000000"/>
      <w:sz w:val="22"/>
      <w:szCs w:val="22"/>
      <w:u w:val="none"/>
    </w:rPr>
  </w:style>
  <w:style w:type="character" w:customStyle="1" w:styleId="69">
    <w:name w:val="页脚 字符"/>
    <w:link w:val="16"/>
    <w:qFormat/>
    <w:uiPriority w:val="99"/>
    <w:rPr>
      <w:sz w:val="18"/>
      <w:szCs w:val="18"/>
    </w:rPr>
  </w:style>
  <w:style w:type="paragraph" w:customStyle="1" w:styleId="70">
    <w:name w:val="文件格式"/>
    <w:basedOn w:val="1"/>
    <w:qFormat/>
    <w:uiPriority w:val="0"/>
    <w:pPr>
      <w:widowControl/>
      <w:spacing w:line="460" w:lineRule="atLeast"/>
      <w:ind w:left="1" w:firstLine="419"/>
      <w:textAlignment w:val="bottom"/>
    </w:pPr>
    <w:rPr>
      <w:rFonts w:eastAsia="仿宋_GB2312"/>
      <w:kern w:val="0"/>
      <w:sz w:val="32"/>
      <w:szCs w:val="32"/>
    </w:rPr>
  </w:style>
  <w:style w:type="paragraph" w:customStyle="1" w:styleId="7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37</Pages>
  <Words>18392</Words>
  <Characters>18773</Characters>
  <Lines>141</Lines>
  <Paragraphs>39</Paragraphs>
  <TotalTime>2</TotalTime>
  <ScaleCrop>false</ScaleCrop>
  <LinksUpToDate>false</LinksUpToDate>
  <CharactersWithSpaces>19308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2025-10-27T10:49:00Z</dcterms:created>
  <dc:creator>Windows User</dc:creator>
  <cp:lastModifiedBy>王梅梅</cp:lastModifiedBy>
  <cp:lastPrinted>2025-11-11T09:03:00Z</cp:lastPrinted>
  <dcterms:modified xsi:type="dcterms:W3CDTF">2025-11-13T01:27:14Z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EA51BFCC265B4887AC8B3891BE59083E_13</vt:lpwstr>
  </property>
  <property fmtid="{D5CDD505-2E9C-101B-9397-08002B2CF9AE}" pid="4" name="KSOTemplateDocerSaveRecord">
    <vt:lpwstr>eyJoZGlkIjoiYzgwZTQyNGY3NWY0ZTVkMDMxMDUwZGIwMTYzYTM2NTkiLCJ1c2VySWQiOiI4MDExMTEyMTMifQ==</vt:lpwstr>
  </property>
</Properties>
</file>