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A7E2">
      <w:pPr>
        <w:ind w:firstLine="2240" w:firstLineChars="700"/>
        <w:rPr>
          <w:sz w:val="32"/>
          <w:szCs w:val="32"/>
        </w:rPr>
      </w:pPr>
      <w:r>
        <w:rPr>
          <w:rFonts w:hint="eastAsia"/>
          <w:sz w:val="32"/>
          <w:szCs w:val="32"/>
        </w:rPr>
        <w:t>南通市职工医保政策问答</w:t>
      </w:r>
    </w:p>
    <w:p w14:paraId="12D8CF5F">
      <w:pPr>
        <w:ind w:firstLine="3200" w:firstLineChars="1000"/>
        <w:rPr>
          <w:rFonts w:hint="eastAsia"/>
          <w:sz w:val="32"/>
          <w:szCs w:val="32"/>
        </w:rPr>
      </w:pPr>
    </w:p>
    <w:p w14:paraId="6607D9C9">
      <w:pPr>
        <w:ind w:firstLine="3200" w:firstLineChars="1000"/>
        <w:rPr>
          <w:sz w:val="32"/>
          <w:szCs w:val="32"/>
        </w:rPr>
      </w:pPr>
      <w:r>
        <w:rPr>
          <w:rFonts w:hint="eastAsia"/>
          <w:sz w:val="32"/>
          <w:szCs w:val="32"/>
        </w:rPr>
        <w:t>参保缴费</w:t>
      </w:r>
    </w:p>
    <w:p w14:paraId="5866FC66">
      <w:pPr>
        <w:ind w:firstLine="480" w:firstLineChars="200"/>
        <w:rPr>
          <w:sz w:val="24"/>
        </w:rPr>
      </w:pPr>
    </w:p>
    <w:p w14:paraId="33C5043D">
      <w:pPr>
        <w:ind w:firstLine="480" w:firstLineChars="200"/>
        <w:rPr>
          <w:sz w:val="24"/>
        </w:rPr>
      </w:pPr>
      <w:r>
        <w:rPr>
          <w:rFonts w:hint="eastAsia"/>
          <w:sz w:val="24"/>
        </w:rPr>
        <w:t>1、职工医保缴费比例是如何确定的？</w:t>
      </w:r>
    </w:p>
    <w:p w14:paraId="7BEAEAAA">
      <w:pPr>
        <w:ind w:firstLine="480" w:firstLineChars="200"/>
        <w:rPr>
          <w:sz w:val="24"/>
        </w:rPr>
      </w:pPr>
      <w:r>
        <w:rPr>
          <w:rFonts w:hint="eastAsia"/>
          <w:sz w:val="24"/>
        </w:rPr>
        <w:t>答：缴费标准分为用人单位和职工个人两部分。分别为：</w:t>
      </w:r>
    </w:p>
    <w:tbl>
      <w:tblPr>
        <w:tblStyle w:val="7"/>
        <w:tblW w:w="8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4825"/>
      </w:tblGrid>
      <w:tr w14:paraId="213C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1" w:type="dxa"/>
          </w:tcPr>
          <w:p w14:paraId="0AF098D9">
            <w:pPr>
              <w:ind w:firstLine="480" w:firstLineChars="200"/>
              <w:rPr>
                <w:sz w:val="24"/>
              </w:rPr>
            </w:pPr>
            <w:r>
              <w:rPr>
                <w:rFonts w:hint="eastAsia"/>
                <w:sz w:val="24"/>
              </w:rPr>
              <w:t>单位</w:t>
            </w:r>
          </w:p>
        </w:tc>
        <w:tc>
          <w:tcPr>
            <w:tcW w:w="4825" w:type="dxa"/>
          </w:tcPr>
          <w:p w14:paraId="1290AF85">
            <w:pPr>
              <w:rPr>
                <w:sz w:val="24"/>
              </w:rPr>
            </w:pPr>
            <w:r>
              <w:rPr>
                <w:rFonts w:hint="eastAsia"/>
                <w:sz w:val="24"/>
              </w:rPr>
              <w:t>按</w:t>
            </w:r>
            <w:r>
              <w:rPr>
                <w:sz w:val="24"/>
              </w:rPr>
              <w:t>单位工资总额的</w:t>
            </w:r>
            <w:r>
              <w:rPr>
                <w:rFonts w:hint="eastAsia"/>
                <w:sz w:val="24"/>
              </w:rPr>
              <w:t>9%缴纳（含生育保险1%）</w:t>
            </w:r>
          </w:p>
        </w:tc>
      </w:tr>
      <w:tr w14:paraId="687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1" w:type="dxa"/>
          </w:tcPr>
          <w:p w14:paraId="5BBED432">
            <w:pPr>
              <w:ind w:firstLine="480" w:firstLineChars="200"/>
              <w:rPr>
                <w:sz w:val="24"/>
              </w:rPr>
            </w:pPr>
            <w:r>
              <w:rPr>
                <w:rFonts w:hint="eastAsia"/>
                <w:sz w:val="24"/>
              </w:rPr>
              <w:t>个</w:t>
            </w:r>
            <w:r>
              <w:rPr>
                <w:sz w:val="24"/>
              </w:rPr>
              <w:t>人</w:t>
            </w:r>
          </w:p>
        </w:tc>
        <w:tc>
          <w:tcPr>
            <w:tcW w:w="4825" w:type="dxa"/>
          </w:tcPr>
          <w:p w14:paraId="638B40D2">
            <w:pPr>
              <w:ind w:firstLine="480" w:firstLineChars="200"/>
              <w:rPr>
                <w:sz w:val="24"/>
              </w:rPr>
            </w:pPr>
            <w:r>
              <w:rPr>
                <w:rFonts w:hint="eastAsia"/>
                <w:sz w:val="24"/>
              </w:rPr>
              <w:t>按</w:t>
            </w:r>
            <w:r>
              <w:rPr>
                <w:sz w:val="24"/>
              </w:rPr>
              <w:t>本人工资总额的</w:t>
            </w:r>
            <w:r>
              <w:rPr>
                <w:rFonts w:hint="eastAsia"/>
                <w:sz w:val="24"/>
              </w:rPr>
              <w:t>2%缴纳</w:t>
            </w:r>
          </w:p>
        </w:tc>
      </w:tr>
      <w:tr w14:paraId="7485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1" w:type="dxa"/>
          </w:tcPr>
          <w:p w14:paraId="769F84A4">
            <w:pPr>
              <w:ind w:firstLine="480" w:firstLineChars="200"/>
              <w:rPr>
                <w:sz w:val="24"/>
              </w:rPr>
            </w:pPr>
            <w:r>
              <w:rPr>
                <w:rFonts w:hint="eastAsia"/>
                <w:sz w:val="24"/>
              </w:rPr>
              <w:t>灵活</w:t>
            </w:r>
            <w:r>
              <w:rPr>
                <w:sz w:val="24"/>
              </w:rPr>
              <w:t>就业人员</w:t>
            </w:r>
          </w:p>
        </w:tc>
        <w:tc>
          <w:tcPr>
            <w:tcW w:w="4825" w:type="dxa"/>
          </w:tcPr>
          <w:p w14:paraId="2CE14C60">
            <w:pPr>
              <w:ind w:firstLine="480" w:firstLineChars="200"/>
              <w:rPr>
                <w:sz w:val="24"/>
              </w:rPr>
            </w:pPr>
            <w:r>
              <w:rPr>
                <w:rFonts w:hint="eastAsia"/>
                <w:sz w:val="24"/>
              </w:rPr>
              <w:t>按</w:t>
            </w:r>
            <w:r>
              <w:rPr>
                <w:sz w:val="24"/>
              </w:rPr>
              <w:t>医保部门公布的缴费基数的9</w:t>
            </w:r>
            <w:r>
              <w:rPr>
                <w:rFonts w:hint="eastAsia"/>
                <w:sz w:val="24"/>
              </w:rPr>
              <w:t>%缴纳</w:t>
            </w:r>
          </w:p>
        </w:tc>
      </w:tr>
      <w:tr w14:paraId="10EA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6" w:type="dxa"/>
            <w:gridSpan w:val="2"/>
          </w:tcPr>
          <w:p w14:paraId="7F0B286E">
            <w:pPr>
              <w:ind w:firstLine="480" w:firstLineChars="200"/>
              <w:rPr>
                <w:sz w:val="24"/>
              </w:rPr>
            </w:pPr>
            <w:r>
              <w:rPr>
                <w:rFonts w:hint="eastAsia"/>
                <w:sz w:val="24"/>
              </w:rPr>
              <w:t>所有参保职工每人每月另需缴纳10元大额医疗救助资金</w:t>
            </w:r>
          </w:p>
        </w:tc>
      </w:tr>
    </w:tbl>
    <w:p w14:paraId="3E2DBD60">
      <w:pPr>
        <w:ind w:firstLine="480" w:firstLineChars="200"/>
        <w:rPr>
          <w:sz w:val="24"/>
        </w:rPr>
      </w:pPr>
      <w:r>
        <w:rPr>
          <w:rFonts w:hint="eastAsia"/>
          <w:sz w:val="24"/>
        </w:rPr>
        <w:t>注意：参保单位应自行向税务部门申报缴纳当月医保费。如参保单位（或灵活就业人员）未及时缴纳当月医保费，当月不划入职工医保个人账户资金，在参保单位（或灵活就业人员）足额补缴医保费后，按规定补划；自欠缴之日的下月起，暂停享受职工基本医疗保险待遇，且自未缴费当月起暂停计算参保人员缴费年限。</w:t>
      </w:r>
    </w:p>
    <w:p w14:paraId="3FEB315A">
      <w:pPr>
        <w:ind w:firstLine="480" w:firstLineChars="200"/>
        <w:rPr>
          <w:sz w:val="24"/>
        </w:rPr>
      </w:pPr>
    </w:p>
    <w:p w14:paraId="212AC654">
      <w:pPr>
        <w:ind w:firstLine="480" w:firstLineChars="200"/>
        <w:rPr>
          <w:sz w:val="24"/>
        </w:rPr>
      </w:pPr>
      <w:r>
        <w:rPr>
          <w:rFonts w:hint="eastAsia"/>
          <w:sz w:val="24"/>
        </w:rPr>
        <w:t>2、职工医保缴费基数是如何确定的？</w:t>
      </w:r>
    </w:p>
    <w:p w14:paraId="17AD4D4F">
      <w:pPr>
        <w:ind w:firstLine="480" w:firstLineChars="200"/>
        <w:rPr>
          <w:sz w:val="24"/>
        </w:rPr>
      </w:pPr>
      <w:r>
        <w:rPr>
          <w:rFonts w:hint="eastAsia"/>
          <w:sz w:val="24"/>
        </w:rPr>
        <w:t>答：1.用人单位缴费基数为本单位上年度职工工资总额。工资总额是用人单位直接支付给本单位全部职工的劳动报酬总额。</w:t>
      </w:r>
    </w:p>
    <w:p w14:paraId="00B04CFD">
      <w:pPr>
        <w:ind w:firstLine="480" w:firstLineChars="200"/>
        <w:rPr>
          <w:sz w:val="24"/>
        </w:rPr>
      </w:pPr>
      <w:r>
        <w:rPr>
          <w:rFonts w:hint="eastAsia"/>
          <w:sz w:val="24"/>
        </w:rPr>
        <w:t>2.在职参保人员（不含灵活就业人员）个人的缴费基数为本人上一年度的工资总额。工资收入是指用人单位直接支付给职工本人的劳动报酬，包括工资、奖金、津贴、补贴和其他工资性收入等。</w:t>
      </w:r>
    </w:p>
    <w:p w14:paraId="39829CC6">
      <w:pPr>
        <w:ind w:firstLine="480" w:firstLineChars="200"/>
        <w:rPr>
          <w:sz w:val="24"/>
        </w:rPr>
      </w:pPr>
      <w:r>
        <w:rPr>
          <w:rFonts w:hint="eastAsia"/>
          <w:sz w:val="24"/>
        </w:rPr>
        <w:t>3．灵活就业人员以医保部门公布的医疗保险缴费基数上下限标准，自由选择确定本人的缴费基数。</w:t>
      </w:r>
    </w:p>
    <w:p w14:paraId="57B9E9A2">
      <w:pPr>
        <w:ind w:firstLine="480" w:firstLineChars="200"/>
        <w:rPr>
          <w:sz w:val="24"/>
        </w:rPr>
      </w:pPr>
      <w:r>
        <w:rPr>
          <w:rFonts w:hint="eastAsia"/>
          <w:sz w:val="24"/>
        </w:rPr>
        <w:t>需要说明的是，“优化调整社会保险费申报缴纳流程”改革后，医保缴费基数在税务部门缴费时进行申报。职工本人上一年度月工资收入高于医疗保险缴费基数上限的，按上限申报；低于医疗保险缴费基数下限的，按下限申报；职工本人工资在上下限标准范围内的，按实际工资确定缴费基数。</w:t>
      </w:r>
    </w:p>
    <w:p w14:paraId="4F79A5AA">
      <w:pPr>
        <w:ind w:firstLine="480" w:firstLineChars="200"/>
        <w:rPr>
          <w:sz w:val="24"/>
        </w:rPr>
      </w:pPr>
    </w:p>
    <w:p w14:paraId="1BCCBCE9">
      <w:pPr>
        <w:ind w:firstLine="480" w:firstLineChars="200"/>
        <w:rPr>
          <w:sz w:val="24"/>
        </w:rPr>
      </w:pPr>
      <w:r>
        <w:rPr>
          <w:rFonts w:hint="eastAsia"/>
          <w:sz w:val="24"/>
        </w:rPr>
        <w:t>3、灵活就业人员如何缴纳职工医保？</w:t>
      </w:r>
    </w:p>
    <w:p w14:paraId="3C5C4322">
      <w:pPr>
        <w:ind w:firstLine="480" w:firstLineChars="200"/>
        <w:rPr>
          <w:sz w:val="24"/>
        </w:rPr>
      </w:pPr>
      <w:r>
        <w:rPr>
          <w:rFonts w:hint="eastAsia"/>
          <w:sz w:val="24"/>
        </w:rPr>
        <w:t>答：新参保或续保人员，需通过医保经办机构窗口、“江苏省医疗保障局个人网上服务大厅”、“江苏政务服务网”等途径先办理参保登记，然后按月缴费。正常缴费人员无需登记，可通过“江苏税务社保缴纳”小程序按月进行缴费；也可通过经办银行柜面进行缴费，或按照规定的缴费标准将医保费存入签订委托代扣关系的经办银行卡中，委托银行代扣代缴。南通市区经办银行有工商银行、农业银行、交通银行、建设银行、中国银行、江苏银行、招商银行、农商行、邮储银行。</w:t>
      </w:r>
    </w:p>
    <w:p w14:paraId="283BA118">
      <w:pPr>
        <w:ind w:firstLine="480" w:firstLineChars="200"/>
        <w:rPr>
          <w:sz w:val="24"/>
        </w:rPr>
      </w:pPr>
    </w:p>
    <w:p w14:paraId="25E6628B">
      <w:pPr>
        <w:ind w:firstLine="480" w:firstLineChars="200"/>
        <w:rPr>
          <w:sz w:val="24"/>
        </w:rPr>
      </w:pPr>
      <w:r>
        <w:rPr>
          <w:rFonts w:hint="eastAsia"/>
          <w:sz w:val="24"/>
        </w:rPr>
        <w:t>4、参加职工医保的在职参保人员医保个人账户何时划入？按什么标准划入？</w:t>
      </w:r>
    </w:p>
    <w:p w14:paraId="02E3D8FC">
      <w:pPr>
        <w:ind w:firstLine="480" w:firstLineChars="200"/>
        <w:rPr>
          <w:sz w:val="24"/>
        </w:rPr>
      </w:pPr>
      <w:r>
        <w:rPr>
          <w:rFonts w:hint="eastAsia"/>
          <w:sz w:val="24"/>
        </w:rPr>
        <w:t>答：按照国家、省有关个人账户的规定，自2023年1月1日起，我市在职参保人员（含灵活就业人员）的个人账户，在参保单位和参保个人足额缴费到账后按月划入。具体划入标准为本人参保缴费基数的2%。也就是说，在职职工每月个人缴纳的职工医保费划入个人账户，单位缴纳的医保费全部计入职工医保统筹基金。</w:t>
      </w:r>
    </w:p>
    <w:p w14:paraId="382143AB">
      <w:pPr>
        <w:ind w:firstLine="480" w:firstLineChars="200"/>
        <w:rPr>
          <w:sz w:val="24"/>
        </w:rPr>
      </w:pPr>
      <w:r>
        <w:rPr>
          <w:rFonts w:hint="eastAsia"/>
          <w:sz w:val="24"/>
        </w:rPr>
        <w:t>灵活就业人员个人账户划入金额与在职职工标准相同，为本人参保缴费基数的2%，其余缴纳的医保费全部计入职工医保统筹基金。</w:t>
      </w:r>
    </w:p>
    <w:p w14:paraId="5AFA19EE">
      <w:pPr>
        <w:ind w:firstLine="480" w:firstLineChars="200"/>
        <w:rPr>
          <w:sz w:val="24"/>
        </w:rPr>
      </w:pPr>
    </w:p>
    <w:p w14:paraId="20208602">
      <w:pPr>
        <w:ind w:firstLine="480" w:firstLineChars="200"/>
        <w:rPr>
          <w:sz w:val="24"/>
        </w:rPr>
      </w:pPr>
      <w:r>
        <w:rPr>
          <w:rFonts w:hint="eastAsia"/>
          <w:sz w:val="24"/>
        </w:rPr>
        <w:t>5、退休职工医保个人账户如何划入？</w:t>
      </w:r>
    </w:p>
    <w:p w14:paraId="4EA9F441">
      <w:pPr>
        <w:ind w:firstLine="480" w:firstLineChars="200"/>
        <w:rPr>
          <w:sz w:val="24"/>
        </w:rPr>
      </w:pPr>
      <w:r>
        <w:rPr>
          <w:rFonts w:hint="eastAsia"/>
          <w:sz w:val="24"/>
        </w:rPr>
        <w:t>答：2022年年底前已享受职工医保退休待遇的参保人员，个人医保账户继续按照本人2023年划拨规模，按年在年初一次性预划。2023年及以后享受职工医保退休待遇的参保人员，继续从享受退休医保待遇审核通过次月起，按本人月度养老金的5%按月划入。（建国前老职工每月另增20元）</w:t>
      </w:r>
    </w:p>
    <w:p w14:paraId="01FA1A64">
      <w:pPr>
        <w:ind w:firstLine="480" w:firstLineChars="200"/>
        <w:rPr>
          <w:sz w:val="24"/>
        </w:rPr>
      </w:pPr>
    </w:p>
    <w:p w14:paraId="2AC9C8ED">
      <w:pPr>
        <w:ind w:firstLine="480" w:firstLineChars="200"/>
        <w:rPr>
          <w:sz w:val="24"/>
        </w:rPr>
      </w:pPr>
      <w:r>
        <w:rPr>
          <w:rFonts w:hint="eastAsia"/>
          <w:sz w:val="24"/>
        </w:rPr>
        <w:t>6、如何办理大病保险？</w:t>
      </w:r>
    </w:p>
    <w:p w14:paraId="4B218D78">
      <w:pPr>
        <w:ind w:firstLine="480" w:firstLineChars="200"/>
        <w:rPr>
          <w:sz w:val="24"/>
        </w:rPr>
      </w:pPr>
      <w:r>
        <w:rPr>
          <w:rFonts w:hint="eastAsia"/>
          <w:sz w:val="24"/>
        </w:rPr>
        <w:t>答：职工大额医疗救助和职工大病保险归并整合为职工大额医疗费用补助。原职工大病医疗救助、大病保险筹资方式、筹资标准不变，筹集的资金统一归入职工大额医疗费用补助。</w:t>
      </w:r>
    </w:p>
    <w:p w14:paraId="1980ACA2">
      <w:pPr>
        <w:ind w:firstLine="480" w:firstLineChars="200"/>
        <w:rPr>
          <w:sz w:val="24"/>
        </w:rPr>
      </w:pPr>
    </w:p>
    <w:p w14:paraId="54822860">
      <w:pPr>
        <w:ind w:firstLine="480" w:firstLineChars="200"/>
        <w:rPr>
          <w:sz w:val="24"/>
        </w:rPr>
      </w:pPr>
      <w:r>
        <w:rPr>
          <w:rFonts w:hint="eastAsia"/>
          <w:sz w:val="24"/>
        </w:rPr>
        <w:t>7、如何参加职工自费补充保险？</w:t>
      </w:r>
    </w:p>
    <w:p w14:paraId="7B78F4FA">
      <w:pPr>
        <w:ind w:firstLine="480" w:firstLineChars="200"/>
        <w:rPr>
          <w:sz w:val="24"/>
        </w:rPr>
      </w:pPr>
      <w:r>
        <w:rPr>
          <w:rFonts w:hint="eastAsia"/>
          <w:sz w:val="24"/>
        </w:rPr>
        <w:t>答：自费补充保险费的筹资标准是每人每年120元，实行参保个人账户与基金共同分摊的办法筹资。具体为：职工医保统筹基金历年结余中筹资60元，参保人员个人医疗账户中筹资60元。其中，属于个人支付的部分，在职人员、2023年及以后享受职工医保退休待遇的参保人员按月扣缴5元；2022年年底前已享受职工医保退休待遇的参保人员，在预划其2024年度个人医疗账户中一次性全额扣缴60元。</w:t>
      </w:r>
    </w:p>
    <w:p w14:paraId="45B924DD">
      <w:pPr>
        <w:ind w:firstLine="480" w:firstLineChars="200"/>
        <w:rPr>
          <w:sz w:val="24"/>
        </w:rPr>
      </w:pPr>
      <w:r>
        <w:rPr>
          <w:rFonts w:hint="eastAsia"/>
          <w:sz w:val="24"/>
        </w:rPr>
        <w:t>新参保或续保人员，自参保当月起参加自费补充保险并享受相应待遇。</w:t>
      </w:r>
    </w:p>
    <w:p w14:paraId="0B3E8E5C">
      <w:pPr>
        <w:ind w:firstLine="480" w:firstLineChars="200"/>
        <w:rPr>
          <w:sz w:val="24"/>
        </w:rPr>
      </w:pPr>
    </w:p>
    <w:p w14:paraId="0F4B6E7D">
      <w:pPr>
        <w:ind w:firstLine="480" w:firstLineChars="200"/>
        <w:rPr>
          <w:sz w:val="24"/>
        </w:rPr>
      </w:pPr>
      <w:r>
        <w:rPr>
          <w:rFonts w:hint="eastAsia"/>
          <w:sz w:val="24"/>
        </w:rPr>
        <w:t>8、如何参加照护保险？</w:t>
      </w:r>
    </w:p>
    <w:p w14:paraId="39ED7A70">
      <w:pPr>
        <w:ind w:firstLine="480" w:firstLineChars="200"/>
        <w:rPr>
          <w:sz w:val="24"/>
        </w:rPr>
      </w:pPr>
      <w:r>
        <w:rPr>
          <w:rFonts w:hint="eastAsia"/>
          <w:sz w:val="24"/>
        </w:rPr>
        <w:t>答：参加职工医保的参保人员同步缴纳照护保险。照护保险个人缴纳费用，由医保经办机构按规定，在年度内第一次划拨个人医疗账户时，一次性从个人账户代扣代缴30元。</w:t>
      </w:r>
    </w:p>
    <w:p w14:paraId="7AB48632">
      <w:pPr>
        <w:ind w:firstLine="480" w:firstLineChars="200"/>
        <w:rPr>
          <w:sz w:val="24"/>
        </w:rPr>
      </w:pPr>
    </w:p>
    <w:p w14:paraId="768E1D70">
      <w:pPr>
        <w:ind w:firstLine="480" w:firstLineChars="200"/>
        <w:rPr>
          <w:sz w:val="24"/>
        </w:rPr>
      </w:pPr>
      <w:r>
        <w:rPr>
          <w:rFonts w:hint="eastAsia"/>
          <w:sz w:val="24"/>
        </w:rPr>
        <w:t>9.《江苏省医疗保障条例》实施前，已参加我市职工医保的参保人员，享受退休人员基本医疗保险待遇缴费年限如何规定？</w:t>
      </w:r>
    </w:p>
    <w:p w14:paraId="099A3B39">
      <w:pPr>
        <w:ind w:firstLine="480" w:firstLineChars="200"/>
        <w:rPr>
          <w:sz w:val="24"/>
        </w:rPr>
      </w:pPr>
      <w:r>
        <w:rPr>
          <w:rFonts w:hint="eastAsia"/>
          <w:sz w:val="24"/>
        </w:rPr>
        <w:t>答：2023年6月1日前，已正常参加我市职工基本医疗保险且未享受退休人员医保待遇的，职工依法办理退休手续、参加职工基本医疗保险的灵活就业人员达到国家规定的退休年龄时，职工基本医疗保险缴费年限可在“实际连续缴费年限”和“累计缴费年限”两项规定中，按照有利于参保人员的原则进行过渡。</w:t>
      </w:r>
    </w:p>
    <w:p w14:paraId="36FC2467">
      <w:pPr>
        <w:ind w:firstLine="480" w:firstLineChars="200"/>
        <w:rPr>
          <w:sz w:val="24"/>
        </w:rPr>
      </w:pPr>
      <w:r>
        <w:rPr>
          <w:rFonts w:hint="eastAsia"/>
          <w:sz w:val="24"/>
        </w:rPr>
        <w:t>“实际连续缴费年限”是指参保职工连续不间断参加职工医保至退休，且连续实际缴费年限不少于15年。“累计缴费年限”是指参加职工基本医疗保险累计缴费年限（包含按照国家规定认可的视同缴费年限和实际缴费年限）男性满25年、女性满20年的。</w:t>
      </w:r>
    </w:p>
    <w:p w14:paraId="2D577E92">
      <w:pPr>
        <w:ind w:firstLine="480" w:firstLineChars="200"/>
        <w:rPr>
          <w:sz w:val="24"/>
        </w:rPr>
      </w:pPr>
    </w:p>
    <w:p w14:paraId="4387FA1B">
      <w:pPr>
        <w:ind w:firstLine="480" w:firstLineChars="200"/>
        <w:rPr>
          <w:sz w:val="24"/>
        </w:rPr>
      </w:pPr>
      <w:r>
        <w:rPr>
          <w:rFonts w:hint="eastAsia"/>
          <w:sz w:val="24"/>
        </w:rPr>
        <w:t>10.《江苏省医疗保障条例》实施后，参加我市职工医保的参保人员，享受退休人员基本医疗保险待遇缴费年限如何规定？</w:t>
      </w:r>
    </w:p>
    <w:p w14:paraId="7CA01D63">
      <w:pPr>
        <w:ind w:firstLine="480" w:firstLineChars="200"/>
        <w:rPr>
          <w:sz w:val="24"/>
        </w:rPr>
      </w:pPr>
      <w:r>
        <w:rPr>
          <w:rFonts w:hint="eastAsia"/>
          <w:sz w:val="24"/>
        </w:rPr>
        <w:t>答：2023年6月1日《条例》实施后，参加我市职工医保的参保人员，办理退休手续时的医保缴费年限符合《条例》规定的，方可享受退休人员医保待遇。即：累计缴费年限（包含按照国家规定认可的视同缴费年限和实际缴费年限）须男性满25年、女性满20年。</w:t>
      </w:r>
    </w:p>
    <w:p w14:paraId="79544910">
      <w:pPr>
        <w:ind w:firstLine="480" w:firstLineChars="200"/>
        <w:rPr>
          <w:sz w:val="24"/>
        </w:rPr>
      </w:pPr>
    </w:p>
    <w:p w14:paraId="3760DF2D">
      <w:pPr>
        <w:ind w:firstLine="480" w:firstLineChars="200"/>
        <w:rPr>
          <w:sz w:val="24"/>
        </w:rPr>
      </w:pPr>
      <w:r>
        <w:rPr>
          <w:rFonts w:hint="eastAsia"/>
          <w:sz w:val="24"/>
        </w:rPr>
        <w:t>11、参保人员死亡后个人医疗账户应如何继承？</w:t>
      </w:r>
    </w:p>
    <w:p w14:paraId="0BC7F727">
      <w:pPr>
        <w:ind w:firstLine="480" w:firstLineChars="200"/>
        <w:rPr>
          <w:sz w:val="24"/>
        </w:rPr>
      </w:pPr>
      <w:r>
        <w:rPr>
          <w:rFonts w:hint="eastAsia"/>
          <w:sz w:val="24"/>
        </w:rPr>
        <w:t>答：参保人员因死亡原因终止医疗保险关系的，用人单位或参保人员家属应及时到医疗保险经办机构办理注销手续。死亡人员个人医疗账户计算至死亡当月，清算后个人医疗账户有余额的，余额部分可以依法继承。</w:t>
      </w:r>
    </w:p>
    <w:p w14:paraId="58A3F53D">
      <w:pPr>
        <w:ind w:firstLine="480" w:firstLineChars="200"/>
        <w:rPr>
          <w:sz w:val="24"/>
        </w:rPr>
      </w:pPr>
    </w:p>
    <w:p w14:paraId="592510FA">
      <w:pPr>
        <w:ind w:firstLine="3520" w:firstLineChars="1100"/>
        <w:rPr>
          <w:sz w:val="32"/>
          <w:szCs w:val="32"/>
        </w:rPr>
      </w:pPr>
      <w:r>
        <w:rPr>
          <w:rFonts w:hint="eastAsia"/>
          <w:sz w:val="32"/>
          <w:szCs w:val="32"/>
        </w:rPr>
        <w:t>待遇标准</w:t>
      </w:r>
    </w:p>
    <w:p w14:paraId="64375834">
      <w:pPr>
        <w:ind w:firstLine="480" w:firstLineChars="200"/>
        <w:rPr>
          <w:sz w:val="24"/>
        </w:rPr>
      </w:pPr>
      <w:r>
        <w:rPr>
          <w:rFonts w:hint="eastAsia"/>
          <w:sz w:val="24"/>
        </w:rPr>
        <w:t>参保职工在一个结算年度内，可以享受普通门诊统筹、特殊病门诊统筹、住院基本医疗统筹、大病保险、住院自费补充报销、国谈药双通道管理及单独支付药品待遇、城乡医疗救助、</w:t>
      </w:r>
      <w:r>
        <w:rPr>
          <w:rFonts w:hint="eastAsia"/>
          <w:color w:val="000000" w:themeColor="text1"/>
          <w:sz w:val="24"/>
        </w:rPr>
        <w:t>三重制度后再补助、</w:t>
      </w:r>
      <w:r>
        <w:rPr>
          <w:rFonts w:hint="eastAsia"/>
          <w:sz w:val="24"/>
        </w:rPr>
        <w:t>个人医疗账户等待遇，主要待遇如下：</w:t>
      </w:r>
    </w:p>
    <w:p w14:paraId="3F38B037">
      <w:pPr>
        <w:numPr>
          <w:ilvl w:val="0"/>
          <w:numId w:val="1"/>
        </w:numPr>
        <w:rPr>
          <w:b/>
          <w:bCs/>
          <w:sz w:val="28"/>
          <w:szCs w:val="28"/>
        </w:rPr>
      </w:pPr>
      <w:r>
        <w:rPr>
          <w:rFonts w:hint="eastAsia"/>
          <w:b/>
          <w:bCs/>
          <w:sz w:val="28"/>
          <w:szCs w:val="28"/>
        </w:rPr>
        <w:t>门诊待遇（一个结算年度内；2024年1月1日起)</w:t>
      </w:r>
    </w:p>
    <w:tbl>
      <w:tblPr>
        <w:tblStyle w:val="7"/>
        <w:tblpPr w:leftFromText="180" w:rightFromText="180" w:vertAnchor="text" w:horzAnchor="page" w:tblpXSpec="center" w:tblpY="180"/>
        <w:tblOverlap w:val="never"/>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310"/>
        <w:gridCol w:w="1137"/>
        <w:gridCol w:w="851"/>
        <w:gridCol w:w="991"/>
        <w:gridCol w:w="954"/>
        <w:gridCol w:w="708"/>
        <w:gridCol w:w="854"/>
      </w:tblGrid>
      <w:tr w14:paraId="2BC8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00" w:type="pct"/>
            <w:gridSpan w:val="8"/>
            <w:vAlign w:val="center"/>
          </w:tcPr>
          <w:p w14:paraId="4754B5B8">
            <w:pPr>
              <w:spacing w:line="300" w:lineRule="exact"/>
              <w:jc w:val="center"/>
              <w:rPr>
                <w:rFonts w:ascii="宋体" w:hAnsi="宋体" w:eastAsia="宋体" w:cs="宋体"/>
                <w:szCs w:val="21"/>
              </w:rPr>
            </w:pPr>
            <w:r>
              <w:rPr>
                <w:rFonts w:hint="eastAsia" w:ascii="宋体" w:hAnsi="宋体" w:eastAsia="宋体" w:cs="宋体"/>
                <w:szCs w:val="21"/>
              </w:rPr>
              <w:t>普通门诊医疗费用</w:t>
            </w:r>
          </w:p>
        </w:tc>
      </w:tr>
      <w:tr w14:paraId="4FC1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84" w:type="pct"/>
            <w:vMerge w:val="restart"/>
            <w:vAlign w:val="center"/>
          </w:tcPr>
          <w:p w14:paraId="2FBBE5FA">
            <w:pPr>
              <w:spacing w:line="300" w:lineRule="exact"/>
              <w:jc w:val="left"/>
              <w:rPr>
                <w:rFonts w:ascii="宋体" w:hAnsi="宋体" w:eastAsia="宋体" w:cs="宋体"/>
                <w:szCs w:val="21"/>
              </w:rPr>
            </w:pPr>
            <w:r>
              <w:rPr>
                <w:rFonts w:hint="eastAsia" w:ascii="宋体" w:hAnsi="宋体" w:eastAsia="宋体" w:cs="宋体"/>
                <w:kern w:val="0"/>
                <w:szCs w:val="21"/>
              </w:rPr>
              <w:t>参保职工一个结算年度内在规定的定点医疗机构门诊就医和定点零售药店购药发生的，符合基本医疗保险政策范围的普通门诊费用，超过起付标准以上，纳入门诊统筹基金支付范围，由统筹基金在限额内按比例支付。</w:t>
            </w:r>
          </w:p>
        </w:tc>
        <w:tc>
          <w:tcPr>
            <w:tcW w:w="773" w:type="pct"/>
            <w:vAlign w:val="center"/>
          </w:tcPr>
          <w:p w14:paraId="66B9A18E">
            <w:pPr>
              <w:spacing w:line="300" w:lineRule="exact"/>
              <w:jc w:val="center"/>
              <w:rPr>
                <w:rFonts w:ascii="宋体" w:hAnsi="宋体" w:eastAsia="宋体" w:cs="宋体"/>
                <w:szCs w:val="21"/>
              </w:rPr>
            </w:pPr>
            <w:r>
              <w:rPr>
                <w:rFonts w:hint="eastAsia" w:ascii="宋体" w:hAnsi="宋体" w:eastAsia="宋体" w:cs="宋体"/>
                <w:szCs w:val="21"/>
              </w:rPr>
              <w:t>人员类别</w:t>
            </w:r>
          </w:p>
        </w:tc>
        <w:tc>
          <w:tcPr>
            <w:tcW w:w="1758" w:type="pct"/>
            <w:gridSpan w:val="3"/>
            <w:vAlign w:val="center"/>
          </w:tcPr>
          <w:p w14:paraId="6D240F5A">
            <w:pPr>
              <w:spacing w:line="300" w:lineRule="exact"/>
              <w:jc w:val="center"/>
              <w:rPr>
                <w:rFonts w:ascii="宋体" w:hAnsi="宋体" w:eastAsia="宋体" w:cs="宋体"/>
                <w:szCs w:val="21"/>
              </w:rPr>
            </w:pPr>
            <w:r>
              <w:rPr>
                <w:rFonts w:hint="eastAsia" w:ascii="宋体" w:hAnsi="宋体" w:eastAsia="宋体" w:cs="宋体"/>
                <w:szCs w:val="21"/>
              </w:rPr>
              <w:t>在职</w:t>
            </w:r>
          </w:p>
        </w:tc>
        <w:tc>
          <w:tcPr>
            <w:tcW w:w="1484" w:type="pct"/>
            <w:gridSpan w:val="3"/>
            <w:vAlign w:val="center"/>
          </w:tcPr>
          <w:p w14:paraId="68D62AE2">
            <w:pPr>
              <w:spacing w:line="300" w:lineRule="exact"/>
              <w:jc w:val="center"/>
              <w:rPr>
                <w:rFonts w:ascii="宋体" w:hAnsi="宋体" w:eastAsia="宋体" w:cs="宋体"/>
                <w:szCs w:val="21"/>
              </w:rPr>
            </w:pPr>
            <w:r>
              <w:rPr>
                <w:rFonts w:hint="eastAsia" w:ascii="宋体" w:hAnsi="宋体" w:eastAsia="宋体" w:cs="宋体"/>
                <w:szCs w:val="21"/>
              </w:rPr>
              <w:t>退休</w:t>
            </w:r>
          </w:p>
        </w:tc>
      </w:tr>
      <w:tr w14:paraId="5FBC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84" w:type="pct"/>
            <w:vMerge w:val="continue"/>
            <w:vAlign w:val="center"/>
          </w:tcPr>
          <w:p w14:paraId="203253FE">
            <w:pPr>
              <w:spacing w:line="300" w:lineRule="exact"/>
              <w:jc w:val="left"/>
              <w:rPr>
                <w:rFonts w:ascii="宋体" w:hAnsi="宋体" w:eastAsia="宋体" w:cs="宋体"/>
                <w:szCs w:val="21"/>
              </w:rPr>
            </w:pPr>
          </w:p>
        </w:tc>
        <w:tc>
          <w:tcPr>
            <w:tcW w:w="773" w:type="pct"/>
            <w:vAlign w:val="center"/>
          </w:tcPr>
          <w:p w14:paraId="5B2BD755">
            <w:pPr>
              <w:spacing w:line="300" w:lineRule="exact"/>
              <w:jc w:val="center"/>
              <w:rPr>
                <w:rFonts w:ascii="宋体" w:hAnsi="宋体" w:eastAsia="宋体" w:cs="宋体"/>
                <w:szCs w:val="21"/>
              </w:rPr>
            </w:pPr>
            <w:r>
              <w:rPr>
                <w:rFonts w:hint="eastAsia" w:ascii="宋体" w:hAnsi="宋体" w:eastAsia="宋体" w:cs="宋体"/>
                <w:szCs w:val="21"/>
              </w:rPr>
              <w:t>起付标准（元）</w:t>
            </w:r>
          </w:p>
        </w:tc>
        <w:tc>
          <w:tcPr>
            <w:tcW w:w="3242" w:type="pct"/>
            <w:gridSpan w:val="6"/>
            <w:vAlign w:val="center"/>
          </w:tcPr>
          <w:p w14:paraId="6818409F">
            <w:pPr>
              <w:spacing w:line="300" w:lineRule="exact"/>
              <w:jc w:val="center"/>
              <w:rPr>
                <w:rFonts w:ascii="宋体" w:hAnsi="宋体" w:eastAsia="宋体" w:cs="宋体"/>
                <w:szCs w:val="21"/>
              </w:rPr>
            </w:pPr>
            <w:r>
              <w:rPr>
                <w:rFonts w:hint="eastAsia" w:ascii="宋体" w:hAnsi="宋体" w:eastAsia="宋体" w:cs="宋体"/>
                <w:szCs w:val="21"/>
              </w:rPr>
              <w:t>800</w:t>
            </w:r>
          </w:p>
        </w:tc>
      </w:tr>
      <w:tr w14:paraId="71EF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84" w:type="pct"/>
            <w:vMerge w:val="continue"/>
            <w:vAlign w:val="center"/>
          </w:tcPr>
          <w:p w14:paraId="64183D99">
            <w:pPr>
              <w:spacing w:line="300" w:lineRule="exact"/>
              <w:jc w:val="center"/>
              <w:rPr>
                <w:rFonts w:ascii="宋体" w:hAnsi="宋体" w:eastAsia="宋体" w:cs="宋体"/>
                <w:szCs w:val="21"/>
              </w:rPr>
            </w:pPr>
          </w:p>
        </w:tc>
        <w:tc>
          <w:tcPr>
            <w:tcW w:w="773" w:type="pct"/>
            <w:vAlign w:val="center"/>
          </w:tcPr>
          <w:p w14:paraId="4855FBBC">
            <w:pPr>
              <w:spacing w:line="300" w:lineRule="exact"/>
              <w:jc w:val="center"/>
              <w:rPr>
                <w:rFonts w:ascii="宋体" w:hAnsi="宋体" w:eastAsia="宋体" w:cs="宋体"/>
                <w:szCs w:val="21"/>
              </w:rPr>
            </w:pPr>
            <w:r>
              <w:rPr>
                <w:rFonts w:hint="eastAsia" w:ascii="宋体" w:hAnsi="宋体" w:eastAsia="宋体" w:cs="宋体"/>
                <w:szCs w:val="21"/>
              </w:rPr>
              <w:t>医院等级</w:t>
            </w:r>
          </w:p>
        </w:tc>
        <w:tc>
          <w:tcPr>
            <w:tcW w:w="671" w:type="pct"/>
            <w:vAlign w:val="center"/>
          </w:tcPr>
          <w:p w14:paraId="7FBA29C6">
            <w:pPr>
              <w:spacing w:line="300" w:lineRule="exact"/>
              <w:jc w:val="center"/>
              <w:rPr>
                <w:rFonts w:ascii="宋体" w:hAnsi="宋体" w:eastAsia="宋体" w:cs="宋体"/>
                <w:szCs w:val="21"/>
              </w:rPr>
            </w:pPr>
            <w:r>
              <w:rPr>
                <w:rFonts w:hint="eastAsia" w:ascii="宋体" w:hAnsi="宋体" w:eastAsia="宋体" w:cs="宋体"/>
                <w:szCs w:val="21"/>
              </w:rPr>
              <w:t>一级及以下医院</w:t>
            </w:r>
          </w:p>
        </w:tc>
        <w:tc>
          <w:tcPr>
            <w:tcW w:w="502" w:type="pct"/>
            <w:vAlign w:val="center"/>
          </w:tcPr>
          <w:p w14:paraId="18A08D98">
            <w:pPr>
              <w:spacing w:line="300" w:lineRule="exact"/>
              <w:jc w:val="center"/>
              <w:rPr>
                <w:rFonts w:ascii="宋体" w:hAnsi="宋体" w:eastAsia="宋体" w:cs="宋体"/>
                <w:szCs w:val="21"/>
              </w:rPr>
            </w:pPr>
            <w:r>
              <w:rPr>
                <w:rFonts w:hint="eastAsia" w:ascii="宋体" w:hAnsi="宋体" w:eastAsia="宋体" w:cs="宋体"/>
                <w:szCs w:val="21"/>
              </w:rPr>
              <w:t>二级医院</w:t>
            </w:r>
          </w:p>
        </w:tc>
        <w:tc>
          <w:tcPr>
            <w:tcW w:w="585" w:type="pct"/>
            <w:vAlign w:val="center"/>
          </w:tcPr>
          <w:p w14:paraId="034BEE5C">
            <w:pPr>
              <w:spacing w:line="300" w:lineRule="exact"/>
              <w:jc w:val="center"/>
              <w:rPr>
                <w:rFonts w:ascii="宋体" w:hAnsi="宋体" w:eastAsia="宋体" w:cs="宋体"/>
                <w:szCs w:val="21"/>
              </w:rPr>
            </w:pPr>
            <w:r>
              <w:rPr>
                <w:rFonts w:hint="eastAsia" w:ascii="宋体" w:hAnsi="宋体" w:eastAsia="宋体" w:cs="宋体"/>
                <w:szCs w:val="21"/>
              </w:rPr>
              <w:t>三级医院</w:t>
            </w:r>
          </w:p>
        </w:tc>
        <w:tc>
          <w:tcPr>
            <w:tcW w:w="563" w:type="pct"/>
            <w:vAlign w:val="center"/>
          </w:tcPr>
          <w:p w14:paraId="72152372">
            <w:pPr>
              <w:spacing w:line="300" w:lineRule="exact"/>
              <w:jc w:val="center"/>
              <w:rPr>
                <w:rFonts w:ascii="宋体" w:hAnsi="宋体" w:eastAsia="宋体" w:cs="宋体"/>
                <w:szCs w:val="21"/>
              </w:rPr>
            </w:pPr>
            <w:r>
              <w:rPr>
                <w:rFonts w:hint="eastAsia" w:ascii="宋体" w:hAnsi="宋体" w:eastAsia="宋体" w:cs="宋体"/>
                <w:szCs w:val="21"/>
              </w:rPr>
              <w:t>一级及以下医院</w:t>
            </w:r>
          </w:p>
        </w:tc>
        <w:tc>
          <w:tcPr>
            <w:tcW w:w="418" w:type="pct"/>
            <w:vAlign w:val="center"/>
          </w:tcPr>
          <w:p w14:paraId="3DE32DF9">
            <w:pPr>
              <w:spacing w:line="300" w:lineRule="exact"/>
              <w:jc w:val="center"/>
              <w:rPr>
                <w:rFonts w:ascii="宋体" w:hAnsi="宋体" w:eastAsia="宋体" w:cs="宋体"/>
                <w:szCs w:val="21"/>
              </w:rPr>
            </w:pPr>
            <w:r>
              <w:rPr>
                <w:rFonts w:hint="eastAsia" w:ascii="宋体" w:hAnsi="宋体" w:eastAsia="宋体" w:cs="宋体"/>
                <w:szCs w:val="21"/>
              </w:rPr>
              <w:t>二级医院</w:t>
            </w:r>
          </w:p>
        </w:tc>
        <w:tc>
          <w:tcPr>
            <w:tcW w:w="503" w:type="pct"/>
            <w:vAlign w:val="center"/>
          </w:tcPr>
          <w:p w14:paraId="131F48E0">
            <w:pPr>
              <w:spacing w:line="300" w:lineRule="exact"/>
              <w:jc w:val="center"/>
              <w:rPr>
                <w:rFonts w:ascii="宋体" w:hAnsi="宋体" w:eastAsia="宋体" w:cs="宋体"/>
                <w:szCs w:val="21"/>
              </w:rPr>
            </w:pPr>
            <w:r>
              <w:rPr>
                <w:rFonts w:hint="eastAsia" w:ascii="宋体" w:hAnsi="宋体" w:eastAsia="宋体" w:cs="宋体"/>
                <w:szCs w:val="21"/>
              </w:rPr>
              <w:t>三级医院</w:t>
            </w:r>
          </w:p>
        </w:tc>
      </w:tr>
      <w:tr w14:paraId="6AA2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84" w:type="pct"/>
            <w:vMerge w:val="continue"/>
            <w:vAlign w:val="center"/>
          </w:tcPr>
          <w:p w14:paraId="7210DA89">
            <w:pPr>
              <w:spacing w:line="300" w:lineRule="exact"/>
              <w:jc w:val="center"/>
              <w:rPr>
                <w:rFonts w:ascii="宋体" w:hAnsi="宋体" w:eastAsia="宋体" w:cs="宋体"/>
                <w:szCs w:val="21"/>
              </w:rPr>
            </w:pPr>
          </w:p>
        </w:tc>
        <w:tc>
          <w:tcPr>
            <w:tcW w:w="773" w:type="pct"/>
            <w:vAlign w:val="center"/>
          </w:tcPr>
          <w:p w14:paraId="3A1F0E02">
            <w:pPr>
              <w:spacing w:line="300" w:lineRule="exact"/>
              <w:jc w:val="center"/>
              <w:rPr>
                <w:rFonts w:ascii="宋体" w:hAnsi="宋体" w:eastAsia="宋体" w:cs="宋体"/>
                <w:szCs w:val="21"/>
              </w:rPr>
            </w:pPr>
            <w:r>
              <w:rPr>
                <w:rFonts w:hint="eastAsia" w:ascii="宋体" w:hAnsi="宋体" w:eastAsia="宋体" w:cs="宋体"/>
                <w:szCs w:val="21"/>
              </w:rPr>
              <w:t>报支比例</w:t>
            </w:r>
          </w:p>
        </w:tc>
        <w:tc>
          <w:tcPr>
            <w:tcW w:w="671" w:type="pct"/>
            <w:vAlign w:val="center"/>
          </w:tcPr>
          <w:p w14:paraId="2078DB67">
            <w:pPr>
              <w:spacing w:line="300" w:lineRule="exact"/>
              <w:jc w:val="center"/>
              <w:rPr>
                <w:rFonts w:ascii="宋体" w:hAnsi="宋体" w:eastAsia="宋体" w:cs="宋体"/>
                <w:szCs w:val="21"/>
              </w:rPr>
            </w:pPr>
            <w:r>
              <w:rPr>
                <w:rFonts w:hint="eastAsia" w:ascii="宋体" w:hAnsi="宋体" w:eastAsia="宋体" w:cs="宋体"/>
                <w:szCs w:val="21"/>
              </w:rPr>
              <w:t>75%</w:t>
            </w:r>
          </w:p>
        </w:tc>
        <w:tc>
          <w:tcPr>
            <w:tcW w:w="502" w:type="pct"/>
            <w:vAlign w:val="center"/>
          </w:tcPr>
          <w:p w14:paraId="55A88342">
            <w:pPr>
              <w:spacing w:line="300" w:lineRule="exact"/>
              <w:jc w:val="center"/>
              <w:rPr>
                <w:rFonts w:ascii="宋体" w:hAnsi="宋体" w:eastAsia="宋体" w:cs="宋体"/>
                <w:szCs w:val="21"/>
              </w:rPr>
            </w:pPr>
            <w:r>
              <w:rPr>
                <w:rFonts w:hint="eastAsia" w:ascii="宋体" w:hAnsi="宋体" w:eastAsia="宋体" w:cs="宋体"/>
                <w:szCs w:val="21"/>
              </w:rPr>
              <w:t>65%</w:t>
            </w:r>
          </w:p>
        </w:tc>
        <w:tc>
          <w:tcPr>
            <w:tcW w:w="585" w:type="pct"/>
            <w:vAlign w:val="center"/>
          </w:tcPr>
          <w:p w14:paraId="50CE0AA0">
            <w:pPr>
              <w:spacing w:line="300" w:lineRule="exact"/>
              <w:jc w:val="center"/>
              <w:rPr>
                <w:rFonts w:ascii="宋体" w:hAnsi="宋体" w:eastAsia="宋体" w:cs="宋体"/>
                <w:szCs w:val="21"/>
              </w:rPr>
            </w:pPr>
            <w:r>
              <w:rPr>
                <w:rFonts w:hint="eastAsia" w:ascii="宋体" w:hAnsi="宋体" w:eastAsia="宋体" w:cs="宋体"/>
                <w:szCs w:val="21"/>
              </w:rPr>
              <w:t>60%</w:t>
            </w:r>
          </w:p>
        </w:tc>
        <w:tc>
          <w:tcPr>
            <w:tcW w:w="563" w:type="pct"/>
            <w:vAlign w:val="center"/>
          </w:tcPr>
          <w:p w14:paraId="0EBE2063">
            <w:pPr>
              <w:spacing w:line="300" w:lineRule="exact"/>
              <w:jc w:val="center"/>
              <w:rPr>
                <w:rFonts w:ascii="宋体" w:hAnsi="宋体" w:eastAsia="宋体" w:cs="宋体"/>
                <w:szCs w:val="21"/>
              </w:rPr>
            </w:pPr>
            <w:r>
              <w:rPr>
                <w:rFonts w:hint="eastAsia" w:ascii="宋体" w:hAnsi="宋体" w:eastAsia="宋体" w:cs="宋体"/>
                <w:szCs w:val="21"/>
              </w:rPr>
              <w:t>80%</w:t>
            </w:r>
          </w:p>
        </w:tc>
        <w:tc>
          <w:tcPr>
            <w:tcW w:w="418" w:type="pct"/>
            <w:vAlign w:val="center"/>
          </w:tcPr>
          <w:p w14:paraId="6C4A9C33">
            <w:pPr>
              <w:spacing w:line="300" w:lineRule="exact"/>
              <w:jc w:val="center"/>
              <w:rPr>
                <w:rFonts w:ascii="宋体" w:hAnsi="宋体" w:eastAsia="宋体" w:cs="宋体"/>
                <w:szCs w:val="21"/>
              </w:rPr>
            </w:pPr>
            <w:r>
              <w:rPr>
                <w:rFonts w:hint="eastAsia" w:ascii="宋体" w:hAnsi="宋体" w:eastAsia="宋体" w:cs="宋体"/>
                <w:szCs w:val="21"/>
              </w:rPr>
              <w:t>70%</w:t>
            </w:r>
          </w:p>
        </w:tc>
        <w:tc>
          <w:tcPr>
            <w:tcW w:w="503" w:type="pct"/>
            <w:vAlign w:val="center"/>
          </w:tcPr>
          <w:p w14:paraId="79120A0B">
            <w:pPr>
              <w:spacing w:line="300" w:lineRule="exact"/>
              <w:jc w:val="center"/>
              <w:rPr>
                <w:rFonts w:ascii="宋体" w:hAnsi="宋体" w:eastAsia="宋体" w:cs="宋体"/>
                <w:szCs w:val="21"/>
              </w:rPr>
            </w:pPr>
            <w:r>
              <w:rPr>
                <w:rFonts w:hint="eastAsia" w:ascii="宋体" w:hAnsi="宋体" w:eastAsia="宋体" w:cs="宋体"/>
                <w:szCs w:val="21"/>
              </w:rPr>
              <w:t>65%</w:t>
            </w:r>
          </w:p>
        </w:tc>
      </w:tr>
      <w:tr w14:paraId="73FB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84" w:type="pct"/>
            <w:vMerge w:val="continue"/>
            <w:vAlign w:val="center"/>
          </w:tcPr>
          <w:p w14:paraId="0366A776">
            <w:pPr>
              <w:spacing w:line="300" w:lineRule="exact"/>
              <w:jc w:val="center"/>
              <w:rPr>
                <w:rFonts w:ascii="宋体" w:hAnsi="宋体" w:eastAsia="宋体" w:cs="宋体"/>
                <w:szCs w:val="21"/>
              </w:rPr>
            </w:pPr>
          </w:p>
        </w:tc>
        <w:tc>
          <w:tcPr>
            <w:tcW w:w="773" w:type="pct"/>
            <w:vAlign w:val="center"/>
          </w:tcPr>
          <w:p w14:paraId="4EA30D13">
            <w:pPr>
              <w:spacing w:line="300" w:lineRule="exact"/>
              <w:jc w:val="center"/>
              <w:rPr>
                <w:rFonts w:ascii="宋体" w:hAnsi="宋体" w:eastAsia="宋体" w:cs="宋体"/>
                <w:szCs w:val="21"/>
              </w:rPr>
            </w:pPr>
            <w:r>
              <w:rPr>
                <w:rFonts w:hint="eastAsia" w:ascii="宋体" w:hAnsi="宋体" w:eastAsia="宋体" w:cs="宋体"/>
                <w:szCs w:val="21"/>
              </w:rPr>
              <w:t>医疗费用最高限额（元）</w:t>
            </w:r>
          </w:p>
        </w:tc>
        <w:tc>
          <w:tcPr>
            <w:tcW w:w="3242" w:type="pct"/>
            <w:gridSpan w:val="6"/>
            <w:vAlign w:val="center"/>
          </w:tcPr>
          <w:p w14:paraId="6513DAB8">
            <w:pPr>
              <w:spacing w:line="300" w:lineRule="exact"/>
              <w:jc w:val="center"/>
              <w:rPr>
                <w:rFonts w:ascii="宋体" w:hAnsi="宋体" w:eastAsia="宋体" w:cs="宋体"/>
                <w:szCs w:val="21"/>
              </w:rPr>
            </w:pPr>
            <w:r>
              <w:rPr>
                <w:rFonts w:hint="eastAsia" w:ascii="宋体" w:hAnsi="宋体" w:eastAsia="宋体" w:cs="宋体"/>
                <w:szCs w:val="21"/>
              </w:rPr>
              <w:t>6000</w:t>
            </w:r>
          </w:p>
        </w:tc>
      </w:tr>
    </w:tbl>
    <w:tbl>
      <w:tblPr>
        <w:tblStyle w:val="7"/>
        <w:tblpPr w:leftFromText="180" w:rightFromText="180" w:vertAnchor="text" w:horzAnchor="margin" w:tblpY="6824"/>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424"/>
        <w:gridCol w:w="1131"/>
        <w:gridCol w:w="1032"/>
        <w:gridCol w:w="107"/>
        <w:gridCol w:w="1136"/>
        <w:gridCol w:w="91"/>
        <w:gridCol w:w="1017"/>
        <w:gridCol w:w="160"/>
        <w:gridCol w:w="1269"/>
        <w:gridCol w:w="130"/>
        <w:gridCol w:w="1139"/>
      </w:tblGrid>
      <w:tr w14:paraId="695D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72" w:type="dxa"/>
            <w:gridSpan w:val="12"/>
            <w:vAlign w:val="center"/>
          </w:tcPr>
          <w:p w14:paraId="30E0E9F7">
            <w:pPr>
              <w:jc w:val="center"/>
            </w:pPr>
            <w:r>
              <w:rPr>
                <w:rFonts w:hint="eastAsia"/>
              </w:rPr>
              <w:t>特殊病门诊医疗费用</w:t>
            </w:r>
          </w:p>
        </w:tc>
      </w:tr>
      <w:tr w14:paraId="777A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423" w:type="dxa"/>
            <w:gridSpan w:val="4"/>
            <w:vAlign w:val="center"/>
          </w:tcPr>
          <w:p w14:paraId="1DB1270A">
            <w:pPr>
              <w:jc w:val="center"/>
            </w:pPr>
            <w:r>
              <w:rPr>
                <w:rFonts w:hint="eastAsia" w:ascii="宋体" w:hAnsi="宋体" w:eastAsia="宋体" w:cs="宋体"/>
                <w:b/>
                <w:bCs/>
                <w:color w:val="000000"/>
                <w:kern w:val="0"/>
                <w:sz w:val="24"/>
              </w:rPr>
              <w:t>病种名称及治疗方式</w:t>
            </w:r>
          </w:p>
        </w:tc>
        <w:tc>
          <w:tcPr>
            <w:tcW w:w="1334" w:type="dxa"/>
            <w:gridSpan w:val="3"/>
            <w:vAlign w:val="center"/>
          </w:tcPr>
          <w:p w14:paraId="61EE4CBF">
            <w:pPr>
              <w:jc w:val="center"/>
            </w:pPr>
            <w:r>
              <w:rPr>
                <w:rFonts w:hint="eastAsia"/>
              </w:rPr>
              <w:t>待遇比例</w:t>
            </w:r>
          </w:p>
          <w:p w14:paraId="42D930E2">
            <w:pPr>
              <w:jc w:val="center"/>
            </w:pPr>
            <w:r>
              <w:rPr>
                <w:rFonts w:hint="eastAsia"/>
              </w:rPr>
              <w:t>在职</w:t>
            </w:r>
          </w:p>
          <w:p w14:paraId="4BF6AA1F">
            <w:pPr>
              <w:jc w:val="center"/>
            </w:pPr>
            <w:r>
              <w:rPr>
                <w:rFonts w:hint="eastAsia"/>
              </w:rPr>
              <w:t>退休</w:t>
            </w:r>
          </w:p>
        </w:tc>
        <w:tc>
          <w:tcPr>
            <w:tcW w:w="1017" w:type="dxa"/>
            <w:vAlign w:val="center"/>
          </w:tcPr>
          <w:p w14:paraId="1990D4DF">
            <w:pPr>
              <w:jc w:val="center"/>
            </w:pPr>
            <w:r>
              <w:rPr>
                <w:rFonts w:hint="eastAsia"/>
              </w:rPr>
              <w:t>备案有效期</w:t>
            </w:r>
          </w:p>
        </w:tc>
        <w:tc>
          <w:tcPr>
            <w:tcW w:w="1559" w:type="dxa"/>
            <w:gridSpan w:val="3"/>
            <w:vAlign w:val="center"/>
          </w:tcPr>
          <w:p w14:paraId="517DCEA5">
            <w:pPr>
              <w:jc w:val="center"/>
            </w:pPr>
            <w:r>
              <w:rPr>
                <w:rFonts w:hint="eastAsia"/>
              </w:rPr>
              <w:t>年限额（元）</w:t>
            </w:r>
          </w:p>
        </w:tc>
        <w:tc>
          <w:tcPr>
            <w:tcW w:w="1139" w:type="dxa"/>
            <w:vAlign w:val="center"/>
          </w:tcPr>
          <w:p w14:paraId="0D40BA0F">
            <w:pPr>
              <w:jc w:val="center"/>
            </w:pPr>
            <w:r>
              <w:rPr>
                <w:rFonts w:hint="eastAsia"/>
              </w:rPr>
              <w:t>备注</w:t>
            </w:r>
          </w:p>
        </w:tc>
      </w:tr>
      <w:tr w14:paraId="2360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36" w:type="dxa"/>
            <w:vMerge w:val="restart"/>
            <w:tcBorders>
              <w:top w:val="single" w:color="auto" w:sz="4" w:space="0"/>
              <w:left w:val="single" w:color="auto" w:sz="4" w:space="0"/>
              <w:right w:val="single" w:color="auto" w:sz="4" w:space="0"/>
            </w:tcBorders>
            <w:vAlign w:val="center"/>
          </w:tcPr>
          <w:p w14:paraId="1B6AE7A9">
            <w:pPr>
              <w:jc w:val="center"/>
            </w:pPr>
            <w:r>
              <w:rPr>
                <w:rFonts w:hint="eastAsia" w:ascii="宋体" w:hAnsi="宋体" w:eastAsia="宋体" w:cs="宋体"/>
                <w:color w:val="000000"/>
                <w:kern w:val="0"/>
                <w:sz w:val="24"/>
              </w:rPr>
              <w:t>恶性肿瘤</w:t>
            </w: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71699E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放疗</w:t>
            </w:r>
          </w:p>
        </w:tc>
        <w:tc>
          <w:tcPr>
            <w:tcW w:w="1334" w:type="dxa"/>
            <w:gridSpan w:val="3"/>
            <w:vMerge w:val="restart"/>
            <w:tcBorders>
              <w:top w:val="single" w:color="auto" w:sz="4" w:space="0"/>
              <w:left w:val="single" w:color="auto" w:sz="4" w:space="0"/>
              <w:right w:val="single" w:color="auto" w:sz="4" w:space="0"/>
            </w:tcBorders>
            <w:vAlign w:val="center"/>
          </w:tcPr>
          <w:p w14:paraId="253A4061">
            <w:pPr>
              <w:jc w:val="center"/>
              <w:rPr>
                <w:rFonts w:ascii="宋体" w:hAnsi="宋体" w:eastAsia="宋体" w:cs="宋体"/>
                <w:szCs w:val="21"/>
              </w:rPr>
            </w:pPr>
            <w:r>
              <w:rPr>
                <w:rFonts w:hint="eastAsia" w:ascii="宋体" w:hAnsi="宋体" w:eastAsia="宋体" w:cs="宋体"/>
                <w:szCs w:val="21"/>
              </w:rPr>
              <w:t>在符合条件的定点医疗机构报销比例按照2023年住院报销比例执行</w:t>
            </w:r>
            <w:r>
              <w:rPr>
                <w:rFonts w:hint="eastAsia" w:ascii="宋体" w:hAnsi="宋体" w:eastAsia="宋体" w:cs="宋体"/>
                <w:szCs w:val="21"/>
                <w:lang w:eastAsia="zh-CN"/>
              </w:rPr>
              <w:t>。</w:t>
            </w:r>
            <w:r>
              <w:rPr>
                <w:rFonts w:hint="eastAsia" w:ascii="宋体" w:hAnsi="宋体" w:eastAsia="宋体" w:cs="宋体"/>
                <w:szCs w:val="21"/>
              </w:rPr>
              <w:t>其中在有治疗资质但无等级的定点医疗机构门诊治疗的，报销比例按2023年二级医疗机构报销比例执行。</w:t>
            </w:r>
          </w:p>
          <w:p w14:paraId="4605CBBF">
            <w:pPr>
              <w:pStyle w:val="2"/>
              <w:rPr>
                <w:rFonts w:eastAsia="宋体"/>
                <w:sz w:val="21"/>
                <w:szCs w:val="21"/>
              </w:rPr>
            </w:pPr>
            <w:r>
              <w:rPr>
                <w:rFonts w:hint="eastAsia" w:eastAsia="宋体"/>
                <w:sz w:val="21"/>
                <w:szCs w:val="21"/>
              </w:rPr>
              <w:t>具体支付比例如下：</w:t>
            </w:r>
          </w:p>
          <w:p w14:paraId="5C83509E">
            <w:pPr>
              <w:pStyle w:val="2"/>
              <w:rPr>
                <w:rFonts w:eastAsia="宋体"/>
              </w:rPr>
            </w:pPr>
          </w:p>
          <w:p w14:paraId="70A75E98">
            <w:pPr>
              <w:pStyle w:val="2"/>
              <w:rPr>
                <w:rFonts w:eastAsia="宋体"/>
              </w:rPr>
            </w:pPr>
          </w:p>
        </w:tc>
        <w:tc>
          <w:tcPr>
            <w:tcW w:w="1017" w:type="dxa"/>
            <w:vMerge w:val="restart"/>
            <w:tcBorders>
              <w:top w:val="single" w:color="auto" w:sz="4" w:space="0"/>
              <w:left w:val="single" w:color="auto" w:sz="4" w:space="0"/>
              <w:right w:val="single" w:color="auto" w:sz="4" w:space="0"/>
            </w:tcBorders>
          </w:tcPr>
          <w:p w14:paraId="389165B4">
            <w:pPr>
              <w:jc w:val="center"/>
            </w:pPr>
          </w:p>
          <w:p w14:paraId="0E0A8557">
            <w:pPr>
              <w:jc w:val="center"/>
            </w:pPr>
          </w:p>
          <w:p w14:paraId="24B88CCF">
            <w:pPr>
              <w:jc w:val="center"/>
            </w:pPr>
          </w:p>
          <w:p w14:paraId="20B5930C">
            <w:pPr>
              <w:jc w:val="center"/>
            </w:pPr>
            <w:r>
              <w:rPr>
                <w:rFonts w:hint="eastAsia"/>
              </w:rPr>
              <w:t>1年</w:t>
            </w:r>
          </w:p>
        </w:tc>
        <w:tc>
          <w:tcPr>
            <w:tcW w:w="1559" w:type="dxa"/>
            <w:gridSpan w:val="3"/>
            <w:vMerge w:val="restart"/>
            <w:tcBorders>
              <w:top w:val="single" w:color="auto" w:sz="4" w:space="0"/>
              <w:left w:val="single" w:color="auto" w:sz="4" w:space="0"/>
              <w:right w:val="single" w:color="auto" w:sz="4" w:space="0"/>
            </w:tcBorders>
            <w:vAlign w:val="center"/>
          </w:tcPr>
          <w:p w14:paraId="0A2FB4B4">
            <w:pPr>
              <w:jc w:val="center"/>
            </w:pPr>
            <w:r>
              <w:rPr>
                <w:rFonts w:hint="eastAsia"/>
              </w:rPr>
              <w:t>100000</w:t>
            </w:r>
          </w:p>
        </w:tc>
        <w:tc>
          <w:tcPr>
            <w:tcW w:w="1139" w:type="dxa"/>
            <w:vMerge w:val="restart"/>
            <w:tcBorders>
              <w:top w:val="single" w:color="auto" w:sz="4" w:space="0"/>
              <w:left w:val="single" w:color="auto" w:sz="4" w:space="0"/>
              <w:right w:val="single" w:color="auto" w:sz="4" w:space="0"/>
            </w:tcBorders>
            <w:vAlign w:val="center"/>
          </w:tcPr>
          <w:p w14:paraId="0110F371">
            <w:r>
              <w:rPr>
                <w:rFonts w:hint="eastAsia"/>
              </w:rPr>
              <w:t>年度起付标准600元。</w:t>
            </w:r>
          </w:p>
        </w:tc>
      </w:tr>
      <w:tr w14:paraId="1693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6E4E2E7D">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6C758D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化疗</w:t>
            </w:r>
          </w:p>
        </w:tc>
        <w:tc>
          <w:tcPr>
            <w:tcW w:w="1334" w:type="dxa"/>
            <w:gridSpan w:val="3"/>
            <w:vMerge w:val="continue"/>
            <w:tcBorders>
              <w:left w:val="single" w:color="auto" w:sz="4" w:space="0"/>
              <w:right w:val="single" w:color="auto" w:sz="4" w:space="0"/>
            </w:tcBorders>
            <w:vAlign w:val="center"/>
          </w:tcPr>
          <w:p w14:paraId="7CAB1673">
            <w:pPr>
              <w:jc w:val="center"/>
            </w:pPr>
          </w:p>
        </w:tc>
        <w:tc>
          <w:tcPr>
            <w:tcW w:w="1017" w:type="dxa"/>
            <w:vMerge w:val="continue"/>
            <w:tcBorders>
              <w:left w:val="single" w:color="auto" w:sz="4" w:space="0"/>
              <w:right w:val="single" w:color="auto" w:sz="4" w:space="0"/>
            </w:tcBorders>
            <w:vAlign w:val="center"/>
          </w:tcPr>
          <w:p w14:paraId="3C701A3C">
            <w:pPr>
              <w:jc w:val="center"/>
            </w:pPr>
          </w:p>
        </w:tc>
        <w:tc>
          <w:tcPr>
            <w:tcW w:w="1559" w:type="dxa"/>
            <w:gridSpan w:val="3"/>
            <w:vMerge w:val="continue"/>
            <w:tcBorders>
              <w:left w:val="single" w:color="auto" w:sz="4" w:space="0"/>
              <w:right w:val="single" w:color="auto" w:sz="4" w:space="0"/>
            </w:tcBorders>
            <w:vAlign w:val="center"/>
          </w:tcPr>
          <w:p w14:paraId="451F21CC">
            <w:pPr>
              <w:jc w:val="center"/>
            </w:pPr>
          </w:p>
        </w:tc>
        <w:tc>
          <w:tcPr>
            <w:tcW w:w="1139" w:type="dxa"/>
            <w:vMerge w:val="continue"/>
            <w:tcBorders>
              <w:left w:val="single" w:color="auto" w:sz="4" w:space="0"/>
              <w:right w:val="single" w:color="auto" w:sz="4" w:space="0"/>
            </w:tcBorders>
            <w:vAlign w:val="center"/>
          </w:tcPr>
          <w:p w14:paraId="6C492039">
            <w:pPr>
              <w:jc w:val="center"/>
            </w:pPr>
          </w:p>
        </w:tc>
      </w:tr>
      <w:tr w14:paraId="2E45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0A7D08F5">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146A91E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介入治疗</w:t>
            </w:r>
          </w:p>
        </w:tc>
        <w:tc>
          <w:tcPr>
            <w:tcW w:w="1334" w:type="dxa"/>
            <w:gridSpan w:val="3"/>
            <w:vMerge w:val="continue"/>
            <w:tcBorders>
              <w:left w:val="single" w:color="auto" w:sz="4" w:space="0"/>
              <w:right w:val="single" w:color="auto" w:sz="4" w:space="0"/>
            </w:tcBorders>
            <w:vAlign w:val="center"/>
          </w:tcPr>
          <w:p w14:paraId="4E58CA45">
            <w:pPr>
              <w:jc w:val="center"/>
            </w:pPr>
          </w:p>
        </w:tc>
        <w:tc>
          <w:tcPr>
            <w:tcW w:w="1017" w:type="dxa"/>
            <w:vMerge w:val="continue"/>
            <w:tcBorders>
              <w:left w:val="single" w:color="auto" w:sz="4" w:space="0"/>
              <w:right w:val="single" w:color="auto" w:sz="4" w:space="0"/>
            </w:tcBorders>
            <w:vAlign w:val="center"/>
          </w:tcPr>
          <w:p w14:paraId="2A255C15">
            <w:pPr>
              <w:jc w:val="center"/>
            </w:pPr>
          </w:p>
        </w:tc>
        <w:tc>
          <w:tcPr>
            <w:tcW w:w="1559" w:type="dxa"/>
            <w:gridSpan w:val="3"/>
            <w:vMerge w:val="continue"/>
            <w:tcBorders>
              <w:left w:val="single" w:color="auto" w:sz="4" w:space="0"/>
              <w:right w:val="single" w:color="auto" w:sz="4" w:space="0"/>
            </w:tcBorders>
            <w:vAlign w:val="center"/>
          </w:tcPr>
          <w:p w14:paraId="6EECEE4C">
            <w:pPr>
              <w:jc w:val="center"/>
            </w:pPr>
          </w:p>
        </w:tc>
        <w:tc>
          <w:tcPr>
            <w:tcW w:w="1139" w:type="dxa"/>
            <w:vMerge w:val="continue"/>
            <w:tcBorders>
              <w:left w:val="single" w:color="auto" w:sz="4" w:space="0"/>
              <w:right w:val="single" w:color="auto" w:sz="4" w:space="0"/>
            </w:tcBorders>
            <w:vAlign w:val="center"/>
          </w:tcPr>
          <w:p w14:paraId="1367F8BD">
            <w:pPr>
              <w:jc w:val="center"/>
            </w:pPr>
          </w:p>
        </w:tc>
      </w:tr>
      <w:tr w14:paraId="4D94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411FB29E">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7590809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生物靶向药物治疗</w:t>
            </w:r>
          </w:p>
        </w:tc>
        <w:tc>
          <w:tcPr>
            <w:tcW w:w="1334" w:type="dxa"/>
            <w:gridSpan w:val="3"/>
            <w:vMerge w:val="continue"/>
            <w:tcBorders>
              <w:left w:val="single" w:color="auto" w:sz="4" w:space="0"/>
              <w:right w:val="single" w:color="auto" w:sz="4" w:space="0"/>
            </w:tcBorders>
            <w:vAlign w:val="center"/>
          </w:tcPr>
          <w:p w14:paraId="211F5234">
            <w:pPr>
              <w:jc w:val="center"/>
            </w:pPr>
          </w:p>
        </w:tc>
        <w:tc>
          <w:tcPr>
            <w:tcW w:w="1017" w:type="dxa"/>
            <w:vMerge w:val="continue"/>
            <w:tcBorders>
              <w:left w:val="single" w:color="auto" w:sz="4" w:space="0"/>
              <w:right w:val="single" w:color="auto" w:sz="4" w:space="0"/>
            </w:tcBorders>
            <w:vAlign w:val="center"/>
          </w:tcPr>
          <w:p w14:paraId="2ECC6575">
            <w:pPr>
              <w:jc w:val="center"/>
            </w:pPr>
          </w:p>
        </w:tc>
        <w:tc>
          <w:tcPr>
            <w:tcW w:w="1559" w:type="dxa"/>
            <w:gridSpan w:val="3"/>
            <w:vMerge w:val="continue"/>
            <w:tcBorders>
              <w:left w:val="single" w:color="auto" w:sz="4" w:space="0"/>
              <w:right w:val="single" w:color="auto" w:sz="4" w:space="0"/>
            </w:tcBorders>
            <w:vAlign w:val="center"/>
          </w:tcPr>
          <w:p w14:paraId="0A7AE1E0">
            <w:pPr>
              <w:jc w:val="center"/>
            </w:pPr>
          </w:p>
        </w:tc>
        <w:tc>
          <w:tcPr>
            <w:tcW w:w="1139" w:type="dxa"/>
            <w:vMerge w:val="continue"/>
            <w:tcBorders>
              <w:left w:val="single" w:color="auto" w:sz="4" w:space="0"/>
              <w:right w:val="single" w:color="auto" w:sz="4" w:space="0"/>
            </w:tcBorders>
            <w:vAlign w:val="center"/>
          </w:tcPr>
          <w:p w14:paraId="12AFEF72">
            <w:pPr>
              <w:jc w:val="center"/>
            </w:pPr>
          </w:p>
        </w:tc>
      </w:tr>
      <w:tr w14:paraId="082E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67D86DB7">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7A9DE1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内分泌治疗</w:t>
            </w:r>
          </w:p>
        </w:tc>
        <w:tc>
          <w:tcPr>
            <w:tcW w:w="1334" w:type="dxa"/>
            <w:gridSpan w:val="3"/>
            <w:vMerge w:val="continue"/>
            <w:tcBorders>
              <w:left w:val="single" w:color="auto" w:sz="4" w:space="0"/>
              <w:right w:val="single" w:color="auto" w:sz="4" w:space="0"/>
            </w:tcBorders>
            <w:vAlign w:val="center"/>
          </w:tcPr>
          <w:p w14:paraId="381DD9B1">
            <w:pPr>
              <w:jc w:val="center"/>
            </w:pPr>
          </w:p>
        </w:tc>
        <w:tc>
          <w:tcPr>
            <w:tcW w:w="1017" w:type="dxa"/>
            <w:vMerge w:val="continue"/>
            <w:tcBorders>
              <w:left w:val="single" w:color="auto" w:sz="4" w:space="0"/>
              <w:bottom w:val="single" w:color="auto" w:sz="4" w:space="0"/>
              <w:right w:val="single" w:color="auto" w:sz="4" w:space="0"/>
            </w:tcBorders>
            <w:vAlign w:val="center"/>
          </w:tcPr>
          <w:p w14:paraId="57A7811C">
            <w:pPr>
              <w:jc w:val="center"/>
            </w:pPr>
          </w:p>
        </w:tc>
        <w:tc>
          <w:tcPr>
            <w:tcW w:w="1559" w:type="dxa"/>
            <w:gridSpan w:val="3"/>
            <w:vMerge w:val="continue"/>
            <w:tcBorders>
              <w:left w:val="single" w:color="auto" w:sz="4" w:space="0"/>
              <w:bottom w:val="single" w:color="auto" w:sz="4" w:space="0"/>
              <w:right w:val="single" w:color="auto" w:sz="4" w:space="0"/>
            </w:tcBorders>
            <w:vAlign w:val="center"/>
          </w:tcPr>
          <w:p w14:paraId="52B5211C">
            <w:pPr>
              <w:jc w:val="center"/>
            </w:pPr>
          </w:p>
        </w:tc>
        <w:tc>
          <w:tcPr>
            <w:tcW w:w="1139" w:type="dxa"/>
            <w:vMerge w:val="continue"/>
            <w:tcBorders>
              <w:left w:val="single" w:color="auto" w:sz="4" w:space="0"/>
              <w:bottom w:val="single" w:color="auto" w:sz="4" w:space="0"/>
              <w:right w:val="single" w:color="auto" w:sz="4" w:space="0"/>
            </w:tcBorders>
            <w:vAlign w:val="center"/>
          </w:tcPr>
          <w:p w14:paraId="64F53B58">
            <w:pPr>
              <w:jc w:val="center"/>
            </w:pPr>
          </w:p>
        </w:tc>
      </w:tr>
      <w:tr w14:paraId="1EC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bottom w:val="single" w:color="auto" w:sz="4" w:space="0"/>
              <w:right w:val="single" w:color="auto" w:sz="4" w:space="0"/>
            </w:tcBorders>
            <w:vAlign w:val="center"/>
          </w:tcPr>
          <w:p w14:paraId="06E1FA75">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314E1A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检查治疗（康复期）</w:t>
            </w:r>
          </w:p>
        </w:tc>
        <w:tc>
          <w:tcPr>
            <w:tcW w:w="1334" w:type="dxa"/>
            <w:gridSpan w:val="3"/>
            <w:vMerge w:val="continue"/>
            <w:tcBorders>
              <w:left w:val="single" w:color="auto" w:sz="4" w:space="0"/>
              <w:right w:val="single" w:color="auto" w:sz="4" w:space="0"/>
            </w:tcBorders>
            <w:vAlign w:val="center"/>
          </w:tcPr>
          <w:p w14:paraId="0B4040B9">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20843165">
            <w:pPr>
              <w:jc w:val="center"/>
            </w:pPr>
            <w:r>
              <w:rPr>
                <w:rFonts w:hint="eastAsia"/>
              </w:rPr>
              <w:t>5年</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5AAB391">
            <w:pPr>
              <w:jc w:val="center"/>
            </w:pPr>
            <w:r>
              <w:rPr>
                <w:rFonts w:hint="eastAsia"/>
              </w:rPr>
              <w:t>5000</w:t>
            </w:r>
          </w:p>
        </w:tc>
        <w:tc>
          <w:tcPr>
            <w:tcW w:w="1139" w:type="dxa"/>
            <w:tcBorders>
              <w:top w:val="single" w:color="auto" w:sz="4" w:space="0"/>
              <w:left w:val="single" w:color="auto" w:sz="4" w:space="0"/>
              <w:bottom w:val="single" w:color="auto" w:sz="4" w:space="0"/>
              <w:right w:val="single" w:color="auto" w:sz="4" w:space="0"/>
            </w:tcBorders>
            <w:vAlign w:val="center"/>
          </w:tcPr>
          <w:p w14:paraId="2645956D">
            <w:pPr>
              <w:jc w:val="center"/>
            </w:pPr>
          </w:p>
        </w:tc>
      </w:tr>
      <w:tr w14:paraId="0E83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36" w:type="dxa"/>
            <w:vMerge w:val="restart"/>
            <w:tcBorders>
              <w:top w:val="single" w:color="auto" w:sz="4" w:space="0"/>
              <w:left w:val="single" w:color="auto" w:sz="4" w:space="0"/>
              <w:right w:val="single" w:color="auto" w:sz="4" w:space="0"/>
            </w:tcBorders>
            <w:vAlign w:val="center"/>
          </w:tcPr>
          <w:p w14:paraId="3C2090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慢性肾功能衰竭</w:t>
            </w:r>
          </w:p>
          <w:p w14:paraId="24D983AB">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63B4B4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血液透析</w:t>
            </w:r>
          </w:p>
        </w:tc>
        <w:tc>
          <w:tcPr>
            <w:tcW w:w="1334" w:type="dxa"/>
            <w:gridSpan w:val="3"/>
            <w:vMerge w:val="continue"/>
            <w:tcBorders>
              <w:left w:val="single" w:color="auto" w:sz="4" w:space="0"/>
              <w:right w:val="single" w:color="auto" w:sz="4" w:space="0"/>
            </w:tcBorders>
            <w:vAlign w:val="center"/>
          </w:tcPr>
          <w:p w14:paraId="79D7D26E">
            <w:pPr>
              <w:jc w:val="center"/>
            </w:pPr>
          </w:p>
        </w:tc>
        <w:tc>
          <w:tcPr>
            <w:tcW w:w="1017" w:type="dxa"/>
            <w:vMerge w:val="restart"/>
            <w:tcBorders>
              <w:top w:val="single" w:color="auto" w:sz="4" w:space="0"/>
              <w:left w:val="single" w:color="auto" w:sz="4" w:space="0"/>
              <w:right w:val="single" w:color="auto" w:sz="4" w:space="0"/>
            </w:tcBorders>
            <w:vAlign w:val="center"/>
          </w:tcPr>
          <w:p w14:paraId="3E987217">
            <w:pPr>
              <w:jc w:val="center"/>
            </w:pPr>
            <w:r>
              <w:rPr>
                <w:rFonts w:hint="eastAsia"/>
              </w:rPr>
              <w:t>----</w:t>
            </w:r>
          </w:p>
        </w:tc>
        <w:tc>
          <w:tcPr>
            <w:tcW w:w="1559" w:type="dxa"/>
            <w:gridSpan w:val="3"/>
            <w:vMerge w:val="restart"/>
            <w:tcBorders>
              <w:top w:val="single" w:color="auto" w:sz="4" w:space="0"/>
              <w:left w:val="single" w:color="auto" w:sz="4" w:space="0"/>
              <w:right w:val="single" w:color="auto" w:sz="4" w:space="0"/>
            </w:tcBorders>
            <w:vAlign w:val="center"/>
          </w:tcPr>
          <w:p w14:paraId="6C861720">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本地：</w:t>
            </w:r>
            <w:r>
              <w:rPr>
                <w:rFonts w:hint="eastAsia"/>
              </w:rPr>
              <w:t>实行按病种收费结算</w:t>
            </w:r>
            <w:r>
              <w:rPr>
                <w:rFonts w:hint="eastAsia" w:ascii="宋体" w:hAnsi="宋体" w:eastAsia="宋体" w:cs="宋体"/>
                <w:color w:val="000000"/>
                <w:kern w:val="0"/>
                <w:sz w:val="22"/>
                <w:szCs w:val="22"/>
              </w:rPr>
              <w:t>异地：86400</w:t>
            </w:r>
          </w:p>
          <w:p w14:paraId="60166345">
            <w:pPr>
              <w:jc w:val="center"/>
            </w:pPr>
            <w:r>
              <w:rPr>
                <w:rFonts w:hint="eastAsia" w:ascii="宋体" w:hAnsi="宋体" w:eastAsia="宋体" w:cs="宋体"/>
                <w:color w:val="000000"/>
                <w:kern w:val="0"/>
                <w:sz w:val="22"/>
                <w:szCs w:val="22"/>
              </w:rPr>
              <w:t>本地异地限额合并累计</w:t>
            </w:r>
          </w:p>
        </w:tc>
        <w:tc>
          <w:tcPr>
            <w:tcW w:w="1139" w:type="dxa"/>
            <w:vMerge w:val="restart"/>
            <w:tcBorders>
              <w:top w:val="single" w:color="auto" w:sz="4" w:space="0"/>
              <w:left w:val="single" w:color="auto" w:sz="4" w:space="0"/>
              <w:right w:val="single" w:color="auto" w:sz="4" w:space="0"/>
            </w:tcBorders>
            <w:vAlign w:val="center"/>
          </w:tcPr>
          <w:p w14:paraId="0731C28A">
            <w:pPr>
              <w:jc w:val="center"/>
              <w:rPr>
                <w:sz w:val="18"/>
              </w:rPr>
            </w:pPr>
            <w:r>
              <w:rPr>
                <w:rFonts w:hint="eastAsia"/>
              </w:rPr>
              <w:t>年度起付标准600元</w:t>
            </w:r>
          </w:p>
        </w:tc>
      </w:tr>
      <w:tr w14:paraId="0B7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2167C54E">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7AD474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腹膜透析</w:t>
            </w:r>
          </w:p>
        </w:tc>
        <w:tc>
          <w:tcPr>
            <w:tcW w:w="1334" w:type="dxa"/>
            <w:gridSpan w:val="3"/>
            <w:vMerge w:val="continue"/>
            <w:tcBorders>
              <w:left w:val="single" w:color="auto" w:sz="4" w:space="0"/>
              <w:right w:val="single" w:color="auto" w:sz="4" w:space="0"/>
            </w:tcBorders>
            <w:vAlign w:val="center"/>
          </w:tcPr>
          <w:p w14:paraId="5C9E505C">
            <w:pPr>
              <w:jc w:val="center"/>
            </w:pPr>
          </w:p>
        </w:tc>
        <w:tc>
          <w:tcPr>
            <w:tcW w:w="1017" w:type="dxa"/>
            <w:vMerge w:val="continue"/>
            <w:tcBorders>
              <w:left w:val="single" w:color="auto" w:sz="4" w:space="0"/>
              <w:bottom w:val="single" w:color="auto" w:sz="4" w:space="0"/>
              <w:right w:val="single" w:color="auto" w:sz="4" w:space="0"/>
            </w:tcBorders>
            <w:vAlign w:val="center"/>
          </w:tcPr>
          <w:p w14:paraId="7B9E40CC">
            <w:pPr>
              <w:jc w:val="center"/>
            </w:pPr>
          </w:p>
        </w:tc>
        <w:tc>
          <w:tcPr>
            <w:tcW w:w="1559" w:type="dxa"/>
            <w:gridSpan w:val="3"/>
            <w:vMerge w:val="continue"/>
            <w:tcBorders>
              <w:left w:val="single" w:color="auto" w:sz="4" w:space="0"/>
              <w:bottom w:val="single" w:color="auto" w:sz="4" w:space="0"/>
              <w:right w:val="single" w:color="auto" w:sz="4" w:space="0"/>
            </w:tcBorders>
            <w:vAlign w:val="center"/>
          </w:tcPr>
          <w:p w14:paraId="62F1CF64">
            <w:pPr>
              <w:jc w:val="center"/>
            </w:pPr>
          </w:p>
        </w:tc>
        <w:tc>
          <w:tcPr>
            <w:tcW w:w="1139" w:type="dxa"/>
            <w:vMerge w:val="continue"/>
            <w:tcBorders>
              <w:left w:val="single" w:color="auto" w:sz="4" w:space="0"/>
              <w:bottom w:val="single" w:color="auto" w:sz="4" w:space="0"/>
              <w:right w:val="single" w:color="auto" w:sz="4" w:space="0"/>
            </w:tcBorders>
            <w:vAlign w:val="center"/>
          </w:tcPr>
          <w:p w14:paraId="44AD6C90">
            <w:pPr>
              <w:jc w:val="center"/>
            </w:pPr>
          </w:p>
        </w:tc>
      </w:tr>
      <w:tr w14:paraId="0D05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bottom w:val="single" w:color="auto" w:sz="4" w:space="0"/>
              <w:right w:val="single" w:color="auto" w:sz="4" w:space="0"/>
            </w:tcBorders>
            <w:vAlign w:val="center"/>
          </w:tcPr>
          <w:p w14:paraId="75CD9C54">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3D39C9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非透析治疗</w:t>
            </w:r>
          </w:p>
        </w:tc>
        <w:tc>
          <w:tcPr>
            <w:tcW w:w="1334" w:type="dxa"/>
            <w:gridSpan w:val="3"/>
            <w:vMerge w:val="continue"/>
            <w:tcBorders>
              <w:left w:val="single" w:color="auto" w:sz="4" w:space="0"/>
              <w:right w:val="single" w:color="auto" w:sz="4" w:space="0"/>
            </w:tcBorders>
            <w:vAlign w:val="center"/>
          </w:tcPr>
          <w:p w14:paraId="51E75EC8">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6A1F0E8F">
            <w:pPr>
              <w:jc w:val="center"/>
            </w:pPr>
            <w:r>
              <w:rPr>
                <w:rFonts w:hint="eastAsia"/>
              </w:rPr>
              <w:t>1年</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65DF3C11">
            <w:pPr>
              <w:jc w:val="center"/>
            </w:pPr>
            <w:r>
              <w:rPr>
                <w:rFonts w:hint="eastAsia"/>
              </w:rPr>
              <w:t>5000</w:t>
            </w:r>
          </w:p>
        </w:tc>
        <w:tc>
          <w:tcPr>
            <w:tcW w:w="1139" w:type="dxa"/>
            <w:tcBorders>
              <w:top w:val="single" w:color="auto" w:sz="4" w:space="0"/>
              <w:left w:val="single" w:color="auto" w:sz="4" w:space="0"/>
              <w:bottom w:val="single" w:color="auto" w:sz="4" w:space="0"/>
              <w:right w:val="single" w:color="auto" w:sz="4" w:space="0"/>
            </w:tcBorders>
            <w:vAlign w:val="center"/>
          </w:tcPr>
          <w:p w14:paraId="376670CB">
            <w:pPr>
              <w:jc w:val="center"/>
            </w:pPr>
          </w:p>
        </w:tc>
      </w:tr>
      <w:tr w14:paraId="72A5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restart"/>
            <w:tcBorders>
              <w:top w:val="single" w:color="auto" w:sz="4" w:space="0"/>
              <w:left w:val="single" w:color="auto" w:sz="4" w:space="0"/>
              <w:right w:val="single" w:color="auto" w:sz="4" w:space="0"/>
            </w:tcBorders>
            <w:vAlign w:val="center"/>
          </w:tcPr>
          <w:p w14:paraId="7FB767FB">
            <w:pPr>
              <w:jc w:val="center"/>
            </w:pPr>
            <w:r>
              <w:rPr>
                <w:rFonts w:hint="eastAsia" w:ascii="宋体" w:hAnsi="宋体" w:eastAsia="宋体" w:cs="宋体"/>
                <w:color w:val="000000"/>
                <w:kern w:val="0"/>
                <w:sz w:val="24"/>
              </w:rPr>
              <w:t>严重精神障碍</w:t>
            </w: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5AE589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精神分裂症</w:t>
            </w:r>
          </w:p>
        </w:tc>
        <w:tc>
          <w:tcPr>
            <w:tcW w:w="1334" w:type="dxa"/>
            <w:gridSpan w:val="3"/>
            <w:vMerge w:val="continue"/>
            <w:tcBorders>
              <w:left w:val="single" w:color="auto" w:sz="4" w:space="0"/>
              <w:right w:val="single" w:color="auto" w:sz="4" w:space="0"/>
            </w:tcBorders>
            <w:vAlign w:val="center"/>
          </w:tcPr>
          <w:p w14:paraId="213F16E6">
            <w:pPr>
              <w:jc w:val="center"/>
            </w:pPr>
          </w:p>
        </w:tc>
        <w:tc>
          <w:tcPr>
            <w:tcW w:w="1017" w:type="dxa"/>
            <w:vMerge w:val="restart"/>
            <w:tcBorders>
              <w:top w:val="single" w:color="auto" w:sz="4" w:space="0"/>
              <w:left w:val="single" w:color="auto" w:sz="4" w:space="0"/>
              <w:right w:val="single" w:color="auto" w:sz="4" w:space="0"/>
            </w:tcBorders>
            <w:vAlign w:val="center"/>
          </w:tcPr>
          <w:p w14:paraId="0BFBFEE7">
            <w:pPr>
              <w:jc w:val="center"/>
            </w:pPr>
            <w:r>
              <w:rPr>
                <w:rFonts w:hint="eastAsia"/>
              </w:rPr>
              <w:t>----</w:t>
            </w:r>
          </w:p>
        </w:tc>
        <w:tc>
          <w:tcPr>
            <w:tcW w:w="1559" w:type="dxa"/>
            <w:gridSpan w:val="3"/>
            <w:vMerge w:val="restart"/>
            <w:tcBorders>
              <w:top w:val="single" w:color="auto" w:sz="4" w:space="0"/>
              <w:left w:val="single" w:color="auto" w:sz="4" w:space="0"/>
              <w:right w:val="single" w:color="auto" w:sz="4" w:space="0"/>
            </w:tcBorders>
            <w:vAlign w:val="center"/>
          </w:tcPr>
          <w:p w14:paraId="32E35127">
            <w:pPr>
              <w:jc w:val="center"/>
            </w:pPr>
            <w:r>
              <w:rPr>
                <w:rFonts w:hint="eastAsia"/>
              </w:rPr>
              <w:t>5000</w:t>
            </w:r>
          </w:p>
        </w:tc>
        <w:tc>
          <w:tcPr>
            <w:tcW w:w="1139" w:type="dxa"/>
            <w:tcBorders>
              <w:top w:val="single" w:color="auto" w:sz="4" w:space="0"/>
              <w:left w:val="single" w:color="auto" w:sz="4" w:space="0"/>
              <w:bottom w:val="single" w:color="auto" w:sz="4" w:space="0"/>
              <w:right w:val="single" w:color="auto" w:sz="4" w:space="0"/>
            </w:tcBorders>
            <w:vAlign w:val="center"/>
          </w:tcPr>
          <w:p w14:paraId="7221D175">
            <w:pPr>
              <w:jc w:val="center"/>
            </w:pPr>
          </w:p>
        </w:tc>
      </w:tr>
      <w:tr w14:paraId="0B3E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6084A9FD">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55CBCB1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分裂情感性障碍</w:t>
            </w:r>
          </w:p>
        </w:tc>
        <w:tc>
          <w:tcPr>
            <w:tcW w:w="1334" w:type="dxa"/>
            <w:gridSpan w:val="3"/>
            <w:vMerge w:val="continue"/>
            <w:tcBorders>
              <w:left w:val="single" w:color="auto" w:sz="4" w:space="0"/>
              <w:right w:val="single" w:color="auto" w:sz="4" w:space="0"/>
            </w:tcBorders>
            <w:vAlign w:val="center"/>
          </w:tcPr>
          <w:p w14:paraId="7E342803">
            <w:pPr>
              <w:jc w:val="center"/>
            </w:pPr>
          </w:p>
        </w:tc>
        <w:tc>
          <w:tcPr>
            <w:tcW w:w="1017" w:type="dxa"/>
            <w:vMerge w:val="continue"/>
            <w:tcBorders>
              <w:left w:val="single" w:color="auto" w:sz="4" w:space="0"/>
              <w:right w:val="single" w:color="auto" w:sz="4" w:space="0"/>
            </w:tcBorders>
            <w:vAlign w:val="center"/>
          </w:tcPr>
          <w:p w14:paraId="7FED61B4">
            <w:pPr>
              <w:jc w:val="center"/>
            </w:pPr>
          </w:p>
        </w:tc>
        <w:tc>
          <w:tcPr>
            <w:tcW w:w="1559" w:type="dxa"/>
            <w:gridSpan w:val="3"/>
            <w:vMerge w:val="continue"/>
            <w:tcBorders>
              <w:left w:val="single" w:color="auto" w:sz="4" w:space="0"/>
              <w:right w:val="single" w:color="auto" w:sz="4" w:space="0"/>
            </w:tcBorders>
            <w:vAlign w:val="center"/>
          </w:tcPr>
          <w:p w14:paraId="54A1BE45">
            <w:pPr>
              <w:jc w:val="center"/>
            </w:pPr>
          </w:p>
        </w:tc>
        <w:tc>
          <w:tcPr>
            <w:tcW w:w="1139" w:type="dxa"/>
            <w:tcBorders>
              <w:top w:val="single" w:color="auto" w:sz="4" w:space="0"/>
              <w:left w:val="single" w:color="auto" w:sz="4" w:space="0"/>
              <w:bottom w:val="single" w:color="auto" w:sz="4" w:space="0"/>
              <w:right w:val="single" w:color="auto" w:sz="4" w:space="0"/>
            </w:tcBorders>
            <w:vAlign w:val="center"/>
          </w:tcPr>
          <w:p w14:paraId="59886F31">
            <w:pPr>
              <w:jc w:val="center"/>
            </w:pPr>
          </w:p>
        </w:tc>
      </w:tr>
      <w:tr w14:paraId="3E9A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36" w:type="dxa"/>
            <w:vMerge w:val="continue"/>
            <w:tcBorders>
              <w:left w:val="single" w:color="auto" w:sz="4" w:space="0"/>
              <w:right w:val="single" w:color="auto" w:sz="4" w:space="0"/>
            </w:tcBorders>
            <w:vAlign w:val="center"/>
          </w:tcPr>
          <w:p w14:paraId="30EC6424">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0201E71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偏执性精神病</w:t>
            </w:r>
          </w:p>
        </w:tc>
        <w:tc>
          <w:tcPr>
            <w:tcW w:w="1334" w:type="dxa"/>
            <w:gridSpan w:val="3"/>
            <w:vMerge w:val="continue"/>
            <w:tcBorders>
              <w:left w:val="single" w:color="auto" w:sz="4" w:space="0"/>
              <w:right w:val="single" w:color="auto" w:sz="4" w:space="0"/>
            </w:tcBorders>
            <w:vAlign w:val="center"/>
          </w:tcPr>
          <w:p w14:paraId="1B64EEAA">
            <w:pPr>
              <w:jc w:val="center"/>
            </w:pPr>
          </w:p>
        </w:tc>
        <w:tc>
          <w:tcPr>
            <w:tcW w:w="1017" w:type="dxa"/>
            <w:vMerge w:val="continue"/>
            <w:tcBorders>
              <w:left w:val="single" w:color="auto" w:sz="4" w:space="0"/>
              <w:right w:val="single" w:color="auto" w:sz="4" w:space="0"/>
            </w:tcBorders>
            <w:vAlign w:val="center"/>
          </w:tcPr>
          <w:p w14:paraId="2AE2A2C8">
            <w:pPr>
              <w:jc w:val="center"/>
            </w:pPr>
          </w:p>
        </w:tc>
        <w:tc>
          <w:tcPr>
            <w:tcW w:w="1559" w:type="dxa"/>
            <w:gridSpan w:val="3"/>
            <w:vMerge w:val="continue"/>
            <w:tcBorders>
              <w:left w:val="single" w:color="auto" w:sz="4" w:space="0"/>
              <w:right w:val="single" w:color="auto" w:sz="4" w:space="0"/>
            </w:tcBorders>
            <w:vAlign w:val="center"/>
          </w:tcPr>
          <w:p w14:paraId="4DCDBE02">
            <w:pPr>
              <w:jc w:val="center"/>
            </w:pPr>
          </w:p>
        </w:tc>
        <w:tc>
          <w:tcPr>
            <w:tcW w:w="1139" w:type="dxa"/>
            <w:tcBorders>
              <w:top w:val="single" w:color="auto" w:sz="4" w:space="0"/>
              <w:left w:val="single" w:color="auto" w:sz="4" w:space="0"/>
              <w:bottom w:val="single" w:color="auto" w:sz="4" w:space="0"/>
              <w:right w:val="single" w:color="auto" w:sz="4" w:space="0"/>
            </w:tcBorders>
            <w:vAlign w:val="center"/>
          </w:tcPr>
          <w:p w14:paraId="7C57789D">
            <w:pPr>
              <w:jc w:val="center"/>
            </w:pPr>
          </w:p>
        </w:tc>
      </w:tr>
      <w:tr w14:paraId="2032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2E6DBA08">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2B877C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双向情感障碍</w:t>
            </w:r>
          </w:p>
        </w:tc>
        <w:tc>
          <w:tcPr>
            <w:tcW w:w="1334" w:type="dxa"/>
            <w:gridSpan w:val="3"/>
            <w:vMerge w:val="continue"/>
            <w:tcBorders>
              <w:left w:val="single" w:color="auto" w:sz="4" w:space="0"/>
              <w:right w:val="single" w:color="auto" w:sz="4" w:space="0"/>
            </w:tcBorders>
            <w:vAlign w:val="center"/>
          </w:tcPr>
          <w:p w14:paraId="3927A55C">
            <w:pPr>
              <w:jc w:val="center"/>
            </w:pPr>
          </w:p>
        </w:tc>
        <w:tc>
          <w:tcPr>
            <w:tcW w:w="1017" w:type="dxa"/>
            <w:vMerge w:val="continue"/>
            <w:tcBorders>
              <w:left w:val="single" w:color="auto" w:sz="4" w:space="0"/>
              <w:right w:val="single" w:color="auto" w:sz="4" w:space="0"/>
            </w:tcBorders>
            <w:vAlign w:val="center"/>
          </w:tcPr>
          <w:p w14:paraId="11385132">
            <w:pPr>
              <w:jc w:val="center"/>
            </w:pPr>
          </w:p>
        </w:tc>
        <w:tc>
          <w:tcPr>
            <w:tcW w:w="1559" w:type="dxa"/>
            <w:gridSpan w:val="3"/>
            <w:vMerge w:val="continue"/>
            <w:tcBorders>
              <w:left w:val="single" w:color="auto" w:sz="4" w:space="0"/>
              <w:right w:val="single" w:color="auto" w:sz="4" w:space="0"/>
            </w:tcBorders>
            <w:vAlign w:val="center"/>
          </w:tcPr>
          <w:p w14:paraId="5AC29F51">
            <w:pPr>
              <w:jc w:val="center"/>
            </w:pPr>
          </w:p>
        </w:tc>
        <w:tc>
          <w:tcPr>
            <w:tcW w:w="1139" w:type="dxa"/>
            <w:tcBorders>
              <w:top w:val="single" w:color="auto" w:sz="4" w:space="0"/>
              <w:left w:val="single" w:color="auto" w:sz="4" w:space="0"/>
              <w:bottom w:val="single" w:color="auto" w:sz="4" w:space="0"/>
              <w:right w:val="single" w:color="auto" w:sz="4" w:space="0"/>
            </w:tcBorders>
            <w:vAlign w:val="center"/>
          </w:tcPr>
          <w:p w14:paraId="53CC4D2D">
            <w:pPr>
              <w:jc w:val="center"/>
            </w:pPr>
          </w:p>
        </w:tc>
      </w:tr>
      <w:tr w14:paraId="231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47D97AF7">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1FF833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癫痫所致精神障碍</w:t>
            </w:r>
          </w:p>
        </w:tc>
        <w:tc>
          <w:tcPr>
            <w:tcW w:w="1334" w:type="dxa"/>
            <w:gridSpan w:val="3"/>
            <w:vMerge w:val="continue"/>
            <w:tcBorders>
              <w:left w:val="single" w:color="auto" w:sz="4" w:space="0"/>
              <w:right w:val="single" w:color="auto" w:sz="4" w:space="0"/>
            </w:tcBorders>
            <w:vAlign w:val="center"/>
          </w:tcPr>
          <w:p w14:paraId="21168BA2">
            <w:pPr>
              <w:jc w:val="center"/>
            </w:pPr>
          </w:p>
        </w:tc>
        <w:tc>
          <w:tcPr>
            <w:tcW w:w="1017" w:type="dxa"/>
            <w:vMerge w:val="continue"/>
            <w:tcBorders>
              <w:left w:val="single" w:color="auto" w:sz="4" w:space="0"/>
              <w:right w:val="single" w:color="auto" w:sz="4" w:space="0"/>
            </w:tcBorders>
            <w:vAlign w:val="center"/>
          </w:tcPr>
          <w:p w14:paraId="4BA4E39C">
            <w:pPr>
              <w:jc w:val="center"/>
            </w:pPr>
          </w:p>
        </w:tc>
        <w:tc>
          <w:tcPr>
            <w:tcW w:w="1559" w:type="dxa"/>
            <w:gridSpan w:val="3"/>
            <w:vMerge w:val="continue"/>
            <w:tcBorders>
              <w:left w:val="single" w:color="auto" w:sz="4" w:space="0"/>
              <w:right w:val="single" w:color="auto" w:sz="4" w:space="0"/>
            </w:tcBorders>
            <w:vAlign w:val="center"/>
          </w:tcPr>
          <w:p w14:paraId="7141DC1D">
            <w:pPr>
              <w:jc w:val="center"/>
            </w:pPr>
          </w:p>
        </w:tc>
        <w:tc>
          <w:tcPr>
            <w:tcW w:w="1139" w:type="dxa"/>
            <w:tcBorders>
              <w:top w:val="single" w:color="auto" w:sz="4" w:space="0"/>
              <w:left w:val="single" w:color="auto" w:sz="4" w:space="0"/>
              <w:bottom w:val="single" w:color="auto" w:sz="4" w:space="0"/>
              <w:right w:val="single" w:color="auto" w:sz="4" w:space="0"/>
            </w:tcBorders>
            <w:vAlign w:val="center"/>
          </w:tcPr>
          <w:p w14:paraId="396627D2">
            <w:pPr>
              <w:jc w:val="center"/>
            </w:pPr>
          </w:p>
        </w:tc>
      </w:tr>
      <w:tr w14:paraId="658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right w:val="single" w:color="auto" w:sz="4" w:space="0"/>
            </w:tcBorders>
            <w:vAlign w:val="center"/>
          </w:tcPr>
          <w:p w14:paraId="187CF8F0">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5FF821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精神发育迟滞伴发精神障碍</w:t>
            </w:r>
          </w:p>
        </w:tc>
        <w:tc>
          <w:tcPr>
            <w:tcW w:w="1334" w:type="dxa"/>
            <w:gridSpan w:val="3"/>
            <w:vMerge w:val="continue"/>
            <w:tcBorders>
              <w:left w:val="single" w:color="auto" w:sz="4" w:space="0"/>
              <w:right w:val="single" w:color="auto" w:sz="4" w:space="0"/>
            </w:tcBorders>
            <w:vAlign w:val="center"/>
          </w:tcPr>
          <w:p w14:paraId="53D443AD">
            <w:pPr>
              <w:jc w:val="center"/>
            </w:pPr>
          </w:p>
        </w:tc>
        <w:tc>
          <w:tcPr>
            <w:tcW w:w="1017" w:type="dxa"/>
            <w:vMerge w:val="continue"/>
            <w:tcBorders>
              <w:left w:val="single" w:color="auto" w:sz="4" w:space="0"/>
              <w:bottom w:val="single" w:color="auto" w:sz="4" w:space="0"/>
              <w:right w:val="single" w:color="auto" w:sz="4" w:space="0"/>
            </w:tcBorders>
            <w:vAlign w:val="center"/>
          </w:tcPr>
          <w:p w14:paraId="6C68E991">
            <w:pPr>
              <w:jc w:val="center"/>
            </w:pPr>
          </w:p>
        </w:tc>
        <w:tc>
          <w:tcPr>
            <w:tcW w:w="1559" w:type="dxa"/>
            <w:gridSpan w:val="3"/>
            <w:vMerge w:val="continue"/>
            <w:tcBorders>
              <w:left w:val="single" w:color="auto" w:sz="4" w:space="0"/>
              <w:right w:val="single" w:color="auto" w:sz="4" w:space="0"/>
            </w:tcBorders>
            <w:vAlign w:val="center"/>
          </w:tcPr>
          <w:p w14:paraId="1A1754B1">
            <w:pPr>
              <w:jc w:val="center"/>
            </w:pPr>
          </w:p>
        </w:tc>
        <w:tc>
          <w:tcPr>
            <w:tcW w:w="1139" w:type="dxa"/>
            <w:tcBorders>
              <w:top w:val="single" w:color="auto" w:sz="4" w:space="0"/>
              <w:left w:val="single" w:color="auto" w:sz="4" w:space="0"/>
              <w:bottom w:val="single" w:color="auto" w:sz="4" w:space="0"/>
              <w:right w:val="single" w:color="auto" w:sz="4" w:space="0"/>
            </w:tcBorders>
            <w:vAlign w:val="center"/>
          </w:tcPr>
          <w:p w14:paraId="2C7367CF">
            <w:pPr>
              <w:jc w:val="center"/>
            </w:pPr>
          </w:p>
        </w:tc>
      </w:tr>
      <w:tr w14:paraId="144A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6" w:type="dxa"/>
            <w:vMerge w:val="continue"/>
            <w:tcBorders>
              <w:left w:val="single" w:color="auto" w:sz="4" w:space="0"/>
              <w:bottom w:val="single" w:color="auto" w:sz="4" w:space="0"/>
              <w:right w:val="single" w:color="auto" w:sz="4" w:space="0"/>
            </w:tcBorders>
            <w:vAlign w:val="center"/>
          </w:tcPr>
          <w:p w14:paraId="00EF2744">
            <w:pPr>
              <w:jc w:val="center"/>
            </w:pPr>
          </w:p>
        </w:tc>
        <w:tc>
          <w:tcPr>
            <w:tcW w:w="2587" w:type="dxa"/>
            <w:gridSpan w:val="3"/>
            <w:tcBorders>
              <w:top w:val="single" w:color="auto" w:sz="4" w:space="0"/>
              <w:left w:val="single" w:color="auto" w:sz="4" w:space="0"/>
              <w:bottom w:val="single" w:color="auto" w:sz="4" w:space="0"/>
              <w:right w:val="single" w:color="auto" w:sz="4" w:space="0"/>
            </w:tcBorders>
            <w:vAlign w:val="center"/>
          </w:tcPr>
          <w:p w14:paraId="4A7080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其他严重精神障碍类疾病</w:t>
            </w:r>
          </w:p>
        </w:tc>
        <w:tc>
          <w:tcPr>
            <w:tcW w:w="1334" w:type="dxa"/>
            <w:gridSpan w:val="3"/>
            <w:vMerge w:val="continue"/>
            <w:tcBorders>
              <w:left w:val="single" w:color="auto" w:sz="4" w:space="0"/>
              <w:right w:val="single" w:color="auto" w:sz="4" w:space="0"/>
            </w:tcBorders>
            <w:vAlign w:val="center"/>
          </w:tcPr>
          <w:p w14:paraId="13CE3A7F">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60FA647B">
            <w:pPr>
              <w:jc w:val="center"/>
            </w:pPr>
            <w:r>
              <w:rPr>
                <w:rFonts w:hint="eastAsia"/>
              </w:rPr>
              <w:t>1年</w:t>
            </w:r>
          </w:p>
        </w:tc>
        <w:tc>
          <w:tcPr>
            <w:tcW w:w="1559" w:type="dxa"/>
            <w:gridSpan w:val="3"/>
            <w:vMerge w:val="continue"/>
            <w:tcBorders>
              <w:left w:val="single" w:color="auto" w:sz="4" w:space="0"/>
              <w:bottom w:val="single" w:color="auto" w:sz="4" w:space="0"/>
              <w:right w:val="single" w:color="auto" w:sz="4" w:space="0"/>
            </w:tcBorders>
            <w:vAlign w:val="center"/>
          </w:tcPr>
          <w:p w14:paraId="745AE74F">
            <w:pPr>
              <w:jc w:val="center"/>
            </w:pPr>
          </w:p>
        </w:tc>
        <w:tc>
          <w:tcPr>
            <w:tcW w:w="1139" w:type="dxa"/>
            <w:tcBorders>
              <w:top w:val="single" w:color="auto" w:sz="4" w:space="0"/>
              <w:left w:val="single" w:color="auto" w:sz="4" w:space="0"/>
              <w:bottom w:val="single" w:color="auto" w:sz="4" w:space="0"/>
              <w:right w:val="single" w:color="auto" w:sz="4" w:space="0"/>
            </w:tcBorders>
            <w:vAlign w:val="center"/>
          </w:tcPr>
          <w:p w14:paraId="715FD274">
            <w:pPr>
              <w:jc w:val="center"/>
            </w:pPr>
          </w:p>
        </w:tc>
      </w:tr>
      <w:tr w14:paraId="7370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vAlign w:val="center"/>
          </w:tcPr>
          <w:p w14:paraId="12A6C61A">
            <w:pPr>
              <w:jc w:val="center"/>
            </w:pPr>
            <w:r>
              <w:rPr>
                <w:rFonts w:hint="eastAsia"/>
              </w:rPr>
              <w:t>血友病</w:t>
            </w:r>
          </w:p>
        </w:tc>
        <w:tc>
          <w:tcPr>
            <w:tcW w:w="1334" w:type="dxa"/>
            <w:gridSpan w:val="3"/>
            <w:vMerge w:val="continue"/>
            <w:tcBorders>
              <w:left w:val="single" w:color="auto" w:sz="4" w:space="0"/>
              <w:right w:val="single" w:color="auto" w:sz="4" w:space="0"/>
            </w:tcBorders>
            <w:vAlign w:val="center"/>
          </w:tcPr>
          <w:p w14:paraId="2C53C714">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08425A1A">
            <w:pPr>
              <w:jc w:val="center"/>
            </w:pPr>
            <w:r>
              <w:rPr>
                <w:rFonts w:hint="eastAsia"/>
              </w:rPr>
              <w:t>----</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353A121B">
            <w:pPr>
              <w:jc w:val="center"/>
            </w:pPr>
            <w:r>
              <w:rPr>
                <w:rFonts w:hint="eastAsia"/>
              </w:rPr>
              <w:t>轻型30000元重型60000元</w:t>
            </w:r>
          </w:p>
        </w:tc>
        <w:tc>
          <w:tcPr>
            <w:tcW w:w="1139" w:type="dxa"/>
            <w:tcBorders>
              <w:top w:val="single" w:color="auto" w:sz="4" w:space="0"/>
              <w:left w:val="single" w:color="auto" w:sz="4" w:space="0"/>
              <w:bottom w:val="single" w:color="auto" w:sz="4" w:space="0"/>
              <w:right w:val="single" w:color="auto" w:sz="4" w:space="0"/>
            </w:tcBorders>
            <w:vAlign w:val="center"/>
          </w:tcPr>
          <w:p w14:paraId="4DE4CD7A">
            <w:pPr>
              <w:jc w:val="center"/>
            </w:pPr>
          </w:p>
        </w:tc>
      </w:tr>
      <w:tr w14:paraId="4090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vAlign w:val="center"/>
          </w:tcPr>
          <w:p w14:paraId="7DFEA01C">
            <w:pPr>
              <w:jc w:val="center"/>
            </w:pPr>
            <w:r>
              <w:rPr>
                <w:rFonts w:hint="eastAsia" w:ascii="宋体" w:hAnsi="宋体" w:eastAsia="宋体" w:cs="宋体"/>
                <w:color w:val="000000"/>
                <w:kern w:val="0"/>
                <w:sz w:val="24"/>
              </w:rPr>
              <w:t>器官移植术后抗排异治疗</w:t>
            </w:r>
          </w:p>
        </w:tc>
        <w:tc>
          <w:tcPr>
            <w:tcW w:w="1334" w:type="dxa"/>
            <w:gridSpan w:val="3"/>
            <w:vMerge w:val="continue"/>
            <w:tcBorders>
              <w:left w:val="single" w:color="auto" w:sz="4" w:space="0"/>
              <w:right w:val="single" w:color="auto" w:sz="4" w:space="0"/>
            </w:tcBorders>
            <w:vAlign w:val="center"/>
          </w:tcPr>
          <w:p w14:paraId="16A325E8">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49AF9711">
            <w:pPr>
              <w:jc w:val="center"/>
            </w:pPr>
            <w:r>
              <w:rPr>
                <w:rFonts w:hint="eastAsia"/>
              </w:rPr>
              <w:t>----</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8875AB6">
            <w:pPr>
              <w:widowControl/>
              <w:pBdr>
                <w:bottom w:val="single" w:color="auto" w:sz="6" w:space="1"/>
              </w:pBdr>
              <w:tabs>
                <w:tab w:val="center" w:pos="4153"/>
                <w:tab w:val="right" w:pos="8306"/>
              </w:tabs>
              <w:snapToGrid w:val="0"/>
              <w:jc w:val="center"/>
              <w:textAlignment w:val="center"/>
            </w:pPr>
            <w:r>
              <w:rPr>
                <w:rFonts w:hint="eastAsia"/>
              </w:rPr>
              <w:t>手术后</w:t>
            </w:r>
          </w:p>
          <w:p w14:paraId="6F7C4F83">
            <w:pPr>
              <w:widowControl/>
              <w:pBdr>
                <w:bottom w:val="single" w:color="auto" w:sz="6" w:space="1"/>
              </w:pBdr>
              <w:tabs>
                <w:tab w:val="center" w:pos="4153"/>
                <w:tab w:val="right" w:pos="8306"/>
              </w:tabs>
              <w:snapToGrid w:val="0"/>
              <w:jc w:val="center"/>
              <w:textAlignment w:val="center"/>
            </w:pPr>
            <w:r>
              <w:rPr>
                <w:rFonts w:hint="eastAsia"/>
              </w:rPr>
              <w:t>第一年</w:t>
            </w:r>
            <w:r>
              <w:t>10</w:t>
            </w:r>
            <w:r>
              <w:rPr>
                <w:rFonts w:hint="eastAsia"/>
              </w:rPr>
              <w:t>万元，</w:t>
            </w:r>
          </w:p>
          <w:p w14:paraId="70865816">
            <w:pPr>
              <w:widowControl/>
              <w:pBdr>
                <w:bottom w:val="single" w:color="auto" w:sz="6" w:space="1"/>
              </w:pBdr>
              <w:tabs>
                <w:tab w:val="center" w:pos="4153"/>
                <w:tab w:val="right" w:pos="8306"/>
              </w:tabs>
              <w:snapToGrid w:val="0"/>
              <w:jc w:val="center"/>
              <w:textAlignment w:val="center"/>
            </w:pPr>
            <w:r>
              <w:rPr>
                <w:rFonts w:hint="eastAsia"/>
              </w:rPr>
              <w:t>第</w:t>
            </w:r>
            <w:r>
              <w:t>2</w:t>
            </w:r>
            <w:r>
              <w:rPr>
                <w:rFonts w:hint="eastAsia"/>
              </w:rPr>
              <w:t>年</w:t>
            </w:r>
            <w:r>
              <w:t>9</w:t>
            </w:r>
            <w:r>
              <w:rPr>
                <w:rFonts w:hint="eastAsia"/>
              </w:rPr>
              <w:t>万元，</w:t>
            </w:r>
          </w:p>
          <w:p w14:paraId="5D4F721F">
            <w:pPr>
              <w:widowControl/>
              <w:pBdr>
                <w:bottom w:val="single" w:color="auto" w:sz="6" w:space="1"/>
              </w:pBdr>
              <w:tabs>
                <w:tab w:val="center" w:pos="4153"/>
                <w:tab w:val="right" w:pos="8306"/>
              </w:tabs>
              <w:snapToGrid w:val="0"/>
              <w:jc w:val="center"/>
              <w:textAlignment w:val="center"/>
              <w:rPr>
                <w:rFonts w:hint="eastAsia"/>
              </w:rPr>
            </w:pPr>
            <w:r>
              <w:rPr>
                <w:rFonts w:hint="eastAsia"/>
              </w:rPr>
              <w:t>第</w:t>
            </w:r>
            <w:r>
              <w:t>3</w:t>
            </w:r>
            <w:r>
              <w:rPr>
                <w:rFonts w:hint="eastAsia"/>
              </w:rPr>
              <w:t>年</w:t>
            </w:r>
            <w:r>
              <w:t>7.5</w:t>
            </w:r>
            <w:r>
              <w:rPr>
                <w:rFonts w:hint="eastAsia"/>
              </w:rPr>
              <w:t>万元，</w:t>
            </w:r>
          </w:p>
          <w:p w14:paraId="698C7F0A">
            <w:pPr>
              <w:widowControl/>
              <w:pBdr>
                <w:bottom w:val="single" w:color="auto" w:sz="6" w:space="1"/>
              </w:pBdr>
              <w:tabs>
                <w:tab w:val="center" w:pos="4153"/>
                <w:tab w:val="right" w:pos="8306"/>
              </w:tabs>
              <w:snapToGrid w:val="0"/>
              <w:jc w:val="center"/>
              <w:textAlignment w:val="center"/>
            </w:pPr>
            <w:r>
              <w:t xml:space="preserve"> </w:t>
            </w:r>
            <w:r>
              <w:rPr>
                <w:rFonts w:hint="eastAsia"/>
              </w:rPr>
              <w:t>第</w:t>
            </w:r>
            <w:r>
              <w:t>4</w:t>
            </w:r>
            <w:r>
              <w:rPr>
                <w:rFonts w:hint="eastAsia"/>
              </w:rPr>
              <w:t>年及以后</w:t>
            </w:r>
            <w:r>
              <w:t>6.5</w:t>
            </w:r>
            <w:r>
              <w:rPr>
                <w:rFonts w:hint="eastAsia"/>
              </w:rPr>
              <w:t>万元</w:t>
            </w:r>
          </w:p>
        </w:tc>
        <w:tc>
          <w:tcPr>
            <w:tcW w:w="1139" w:type="dxa"/>
            <w:tcBorders>
              <w:top w:val="single" w:color="auto" w:sz="4" w:space="0"/>
              <w:left w:val="single" w:color="auto" w:sz="4" w:space="0"/>
              <w:bottom w:val="single" w:color="auto" w:sz="4" w:space="0"/>
              <w:right w:val="single" w:color="auto" w:sz="4" w:space="0"/>
            </w:tcBorders>
            <w:vAlign w:val="center"/>
          </w:tcPr>
          <w:p w14:paraId="09C2F3E4">
            <w:pPr>
              <w:jc w:val="center"/>
            </w:pPr>
            <w:r>
              <w:rPr>
                <w:rFonts w:hint="eastAsia"/>
              </w:rPr>
              <w:t>年度起付标准600元</w:t>
            </w:r>
          </w:p>
        </w:tc>
      </w:tr>
      <w:tr w14:paraId="1F0E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vAlign w:val="center"/>
          </w:tcPr>
          <w:p w14:paraId="70FAB2BD">
            <w:pPr>
              <w:jc w:val="center"/>
            </w:pPr>
            <w:r>
              <w:rPr>
                <w:rFonts w:hint="eastAsia" w:ascii="宋体" w:hAnsi="宋体" w:eastAsia="宋体" w:cs="宋体"/>
                <w:color w:val="000000"/>
                <w:kern w:val="0"/>
                <w:sz w:val="24"/>
              </w:rPr>
              <w:t>再生障碍性贫血</w:t>
            </w:r>
          </w:p>
        </w:tc>
        <w:tc>
          <w:tcPr>
            <w:tcW w:w="1334" w:type="dxa"/>
            <w:gridSpan w:val="3"/>
            <w:vMerge w:val="continue"/>
            <w:tcBorders>
              <w:left w:val="single" w:color="auto" w:sz="4" w:space="0"/>
              <w:right w:val="single" w:color="auto" w:sz="4" w:space="0"/>
            </w:tcBorders>
            <w:vAlign w:val="center"/>
          </w:tcPr>
          <w:p w14:paraId="6FB90579">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78E6C150">
            <w:pPr>
              <w:jc w:val="center"/>
            </w:pPr>
            <w:r>
              <w:rPr>
                <w:rFonts w:hint="eastAsia"/>
              </w:rPr>
              <w:t>----</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7FA16D6">
            <w:pPr>
              <w:jc w:val="center"/>
            </w:pPr>
            <w:r>
              <w:rPr>
                <w:rFonts w:hint="eastAsia"/>
              </w:rPr>
              <w:t>12000</w:t>
            </w:r>
          </w:p>
        </w:tc>
        <w:tc>
          <w:tcPr>
            <w:tcW w:w="1139" w:type="dxa"/>
            <w:tcBorders>
              <w:top w:val="single" w:color="auto" w:sz="4" w:space="0"/>
              <w:left w:val="single" w:color="auto" w:sz="4" w:space="0"/>
              <w:bottom w:val="single" w:color="auto" w:sz="4" w:space="0"/>
              <w:right w:val="single" w:color="auto" w:sz="4" w:space="0"/>
            </w:tcBorders>
            <w:vAlign w:val="center"/>
          </w:tcPr>
          <w:p w14:paraId="74339C6E">
            <w:pPr>
              <w:jc w:val="center"/>
            </w:pPr>
          </w:p>
        </w:tc>
      </w:tr>
      <w:tr w14:paraId="3994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vAlign w:val="center"/>
          </w:tcPr>
          <w:p w14:paraId="027C2785">
            <w:pPr>
              <w:jc w:val="center"/>
            </w:pPr>
            <w:r>
              <w:rPr>
                <w:rFonts w:hint="eastAsia" w:ascii="宋体" w:hAnsi="宋体" w:eastAsia="宋体" w:cs="宋体"/>
                <w:color w:val="000000"/>
                <w:kern w:val="0"/>
                <w:sz w:val="24"/>
              </w:rPr>
              <w:t>系统性红斑狼疮</w:t>
            </w:r>
          </w:p>
        </w:tc>
        <w:tc>
          <w:tcPr>
            <w:tcW w:w="1334" w:type="dxa"/>
            <w:gridSpan w:val="3"/>
            <w:vMerge w:val="continue"/>
            <w:tcBorders>
              <w:left w:val="single" w:color="auto" w:sz="4" w:space="0"/>
              <w:right w:val="single" w:color="auto" w:sz="4" w:space="0"/>
            </w:tcBorders>
            <w:vAlign w:val="center"/>
          </w:tcPr>
          <w:p w14:paraId="6E47E207">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737124A6">
            <w:pPr>
              <w:jc w:val="center"/>
            </w:pPr>
            <w:r>
              <w:rPr>
                <w:rFonts w:hint="eastAsia"/>
              </w:rPr>
              <w:t>----</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009D74CF">
            <w:pPr>
              <w:jc w:val="center"/>
            </w:pPr>
            <w:r>
              <w:rPr>
                <w:rFonts w:hint="eastAsia"/>
              </w:rPr>
              <w:t>5000</w:t>
            </w:r>
          </w:p>
        </w:tc>
        <w:tc>
          <w:tcPr>
            <w:tcW w:w="1139" w:type="dxa"/>
            <w:tcBorders>
              <w:top w:val="single" w:color="auto" w:sz="4" w:space="0"/>
              <w:left w:val="single" w:color="auto" w:sz="4" w:space="0"/>
              <w:bottom w:val="single" w:color="auto" w:sz="4" w:space="0"/>
              <w:right w:val="single" w:color="auto" w:sz="4" w:space="0"/>
            </w:tcBorders>
            <w:vAlign w:val="center"/>
          </w:tcPr>
          <w:p w14:paraId="172EF71C">
            <w:pPr>
              <w:jc w:val="center"/>
            </w:pPr>
          </w:p>
        </w:tc>
      </w:tr>
      <w:tr w14:paraId="7086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423" w:type="dxa"/>
            <w:gridSpan w:val="4"/>
            <w:tcBorders>
              <w:top w:val="single" w:color="auto" w:sz="4" w:space="0"/>
              <w:left w:val="single" w:color="auto" w:sz="4" w:space="0"/>
              <w:bottom w:val="single" w:color="auto" w:sz="4" w:space="0"/>
              <w:right w:val="single" w:color="auto" w:sz="4" w:space="0"/>
            </w:tcBorders>
            <w:vAlign w:val="center"/>
          </w:tcPr>
          <w:p w14:paraId="44D9762D">
            <w:pPr>
              <w:jc w:val="center"/>
            </w:pPr>
            <w:r>
              <w:rPr>
                <w:rFonts w:hint="eastAsia" w:ascii="宋体" w:hAnsi="宋体" w:eastAsia="宋体" w:cs="宋体"/>
                <w:color w:val="000000"/>
                <w:kern w:val="0"/>
                <w:sz w:val="24"/>
              </w:rPr>
              <w:t>肺结核</w:t>
            </w:r>
          </w:p>
        </w:tc>
        <w:tc>
          <w:tcPr>
            <w:tcW w:w="1334" w:type="dxa"/>
            <w:gridSpan w:val="3"/>
            <w:vMerge w:val="continue"/>
            <w:tcBorders>
              <w:left w:val="single" w:color="auto" w:sz="4" w:space="0"/>
              <w:right w:val="single" w:color="auto" w:sz="4" w:space="0"/>
            </w:tcBorders>
            <w:vAlign w:val="center"/>
          </w:tcPr>
          <w:p w14:paraId="5AAF625B">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2CF581E4">
            <w:pPr>
              <w:jc w:val="center"/>
            </w:pPr>
            <w:r>
              <w:rPr>
                <w:rFonts w:hint="eastAsia"/>
              </w:rPr>
              <w:t>1年</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52F92168">
            <w:pPr>
              <w:jc w:val="center"/>
            </w:pPr>
            <w:r>
              <w:rPr>
                <w:rFonts w:hint="eastAsia"/>
              </w:rPr>
              <w:t>12000</w:t>
            </w:r>
          </w:p>
        </w:tc>
        <w:tc>
          <w:tcPr>
            <w:tcW w:w="1139" w:type="dxa"/>
            <w:tcBorders>
              <w:top w:val="single" w:color="auto" w:sz="4" w:space="0"/>
              <w:left w:val="single" w:color="auto" w:sz="4" w:space="0"/>
              <w:bottom w:val="single" w:color="auto" w:sz="4" w:space="0"/>
              <w:right w:val="single" w:color="auto" w:sz="4" w:space="0"/>
            </w:tcBorders>
            <w:vAlign w:val="center"/>
          </w:tcPr>
          <w:p w14:paraId="41CB572B">
            <w:pPr>
              <w:jc w:val="center"/>
            </w:pPr>
          </w:p>
        </w:tc>
      </w:tr>
      <w:tr w14:paraId="3D8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423" w:type="dxa"/>
            <w:gridSpan w:val="4"/>
            <w:tcBorders>
              <w:top w:val="single" w:color="auto" w:sz="4" w:space="0"/>
              <w:left w:val="single" w:color="auto" w:sz="4" w:space="0"/>
              <w:bottom w:val="single" w:color="auto" w:sz="4" w:space="0"/>
              <w:right w:val="single" w:color="auto" w:sz="4" w:space="0"/>
            </w:tcBorders>
            <w:vAlign w:val="center"/>
          </w:tcPr>
          <w:p w14:paraId="01CBF01B">
            <w:pPr>
              <w:jc w:val="center"/>
            </w:pPr>
            <w:r>
              <w:rPr>
                <w:rFonts w:hint="eastAsia" w:ascii="宋体" w:hAnsi="宋体" w:eastAsia="宋体" w:cs="宋体"/>
                <w:color w:val="000000"/>
                <w:kern w:val="0"/>
                <w:sz w:val="24"/>
              </w:rPr>
              <w:t>肺动脉高压</w:t>
            </w:r>
          </w:p>
        </w:tc>
        <w:tc>
          <w:tcPr>
            <w:tcW w:w="1334" w:type="dxa"/>
            <w:gridSpan w:val="3"/>
            <w:vMerge w:val="continue"/>
            <w:tcBorders>
              <w:left w:val="single" w:color="auto" w:sz="4" w:space="0"/>
              <w:right w:val="single" w:color="auto" w:sz="4" w:space="0"/>
            </w:tcBorders>
            <w:vAlign w:val="center"/>
          </w:tcPr>
          <w:p w14:paraId="129571EA">
            <w:pPr>
              <w:jc w:val="center"/>
            </w:pPr>
          </w:p>
        </w:tc>
        <w:tc>
          <w:tcPr>
            <w:tcW w:w="1017" w:type="dxa"/>
            <w:tcBorders>
              <w:top w:val="single" w:color="auto" w:sz="4" w:space="0"/>
              <w:left w:val="single" w:color="auto" w:sz="4" w:space="0"/>
              <w:bottom w:val="single" w:color="auto" w:sz="4" w:space="0"/>
              <w:right w:val="single" w:color="auto" w:sz="4" w:space="0"/>
            </w:tcBorders>
            <w:vAlign w:val="center"/>
          </w:tcPr>
          <w:p w14:paraId="2874AC26">
            <w:pPr>
              <w:jc w:val="center"/>
            </w:pPr>
            <w:r>
              <w:rPr>
                <w:rFonts w:hint="eastAsia"/>
              </w:rPr>
              <w:t>----</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1E286635">
            <w:pPr>
              <w:jc w:val="center"/>
            </w:pPr>
            <w:r>
              <w:rPr>
                <w:rFonts w:hint="eastAsia"/>
              </w:rPr>
              <w:t>80000</w:t>
            </w:r>
          </w:p>
        </w:tc>
        <w:tc>
          <w:tcPr>
            <w:tcW w:w="1139" w:type="dxa"/>
            <w:tcBorders>
              <w:top w:val="single" w:color="auto" w:sz="4" w:space="0"/>
              <w:left w:val="single" w:color="auto" w:sz="4" w:space="0"/>
              <w:bottom w:val="single" w:color="auto" w:sz="4" w:space="0"/>
              <w:right w:val="single" w:color="auto" w:sz="4" w:space="0"/>
            </w:tcBorders>
            <w:vAlign w:val="center"/>
          </w:tcPr>
          <w:p w14:paraId="4B73F3B8">
            <w:pPr>
              <w:jc w:val="center"/>
            </w:pPr>
          </w:p>
        </w:tc>
      </w:tr>
      <w:tr w14:paraId="4CBB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72" w:type="dxa"/>
            <w:gridSpan w:val="12"/>
            <w:tcBorders>
              <w:top w:val="single" w:color="auto" w:sz="4" w:space="0"/>
              <w:left w:val="single" w:color="auto" w:sz="4" w:space="0"/>
              <w:bottom w:val="single" w:color="auto" w:sz="4" w:space="0"/>
              <w:right w:val="single" w:color="auto" w:sz="4" w:space="0"/>
            </w:tcBorders>
            <w:vAlign w:val="center"/>
          </w:tcPr>
          <w:p w14:paraId="432542A9">
            <w:pPr>
              <w:jc w:val="center"/>
            </w:pPr>
            <w:r>
              <w:rPr>
                <w:rFonts w:hint="eastAsia"/>
              </w:rPr>
              <w:t>2024年特殊病门诊报支比例</w:t>
            </w:r>
          </w:p>
        </w:tc>
      </w:tr>
      <w:tr w14:paraId="17C4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60" w:type="dxa"/>
            <w:gridSpan w:val="2"/>
            <w:vMerge w:val="restart"/>
            <w:tcBorders>
              <w:top w:val="single" w:color="auto" w:sz="4" w:space="0"/>
              <w:left w:val="single" w:color="auto" w:sz="4" w:space="0"/>
              <w:right w:val="single" w:color="auto" w:sz="4" w:space="0"/>
            </w:tcBorders>
            <w:vAlign w:val="center"/>
          </w:tcPr>
          <w:p w14:paraId="217D695B">
            <w:pPr>
              <w:jc w:val="center"/>
            </w:pPr>
            <w:r>
              <w:rPr>
                <w:rFonts w:hint="eastAsia"/>
              </w:rPr>
              <w:t>费用分段</w:t>
            </w:r>
          </w:p>
          <w:p w14:paraId="3ED1B905">
            <w:pPr>
              <w:pStyle w:val="2"/>
              <w:jc w:val="both"/>
              <w:rPr>
                <w:sz w:val="21"/>
                <w:szCs w:val="21"/>
              </w:rPr>
            </w:pPr>
            <w:r>
              <w:rPr>
                <w:rFonts w:hint="eastAsia"/>
                <w:sz w:val="21"/>
                <w:szCs w:val="21"/>
              </w:rPr>
              <w:t>（万元）</w:t>
            </w:r>
          </w:p>
        </w:tc>
        <w:tc>
          <w:tcPr>
            <w:tcW w:w="3406" w:type="dxa"/>
            <w:gridSpan w:val="4"/>
            <w:tcBorders>
              <w:top w:val="single" w:color="auto" w:sz="4" w:space="0"/>
              <w:left w:val="single" w:color="auto" w:sz="4" w:space="0"/>
              <w:bottom w:val="single" w:color="auto" w:sz="4" w:space="0"/>
              <w:right w:val="single" w:color="auto" w:sz="4" w:space="0"/>
            </w:tcBorders>
            <w:vAlign w:val="center"/>
          </w:tcPr>
          <w:p w14:paraId="47769A7E">
            <w:pPr>
              <w:jc w:val="center"/>
            </w:pPr>
            <w:r>
              <w:rPr>
                <w:rFonts w:hint="eastAsia"/>
              </w:rPr>
              <w:t>在职</w:t>
            </w:r>
          </w:p>
        </w:tc>
        <w:tc>
          <w:tcPr>
            <w:tcW w:w="3806" w:type="dxa"/>
            <w:gridSpan w:val="6"/>
            <w:tcBorders>
              <w:top w:val="single" w:color="auto" w:sz="4" w:space="0"/>
              <w:left w:val="single" w:color="auto" w:sz="4" w:space="0"/>
              <w:bottom w:val="single" w:color="auto" w:sz="4" w:space="0"/>
              <w:right w:val="single" w:color="auto" w:sz="4" w:space="0"/>
            </w:tcBorders>
            <w:vAlign w:val="center"/>
          </w:tcPr>
          <w:p w14:paraId="3040E1C7">
            <w:pPr>
              <w:jc w:val="center"/>
            </w:pPr>
            <w:r>
              <w:rPr>
                <w:rFonts w:hint="eastAsia"/>
              </w:rPr>
              <w:t>退休</w:t>
            </w:r>
          </w:p>
        </w:tc>
      </w:tr>
      <w:tr w14:paraId="22F5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260" w:type="dxa"/>
            <w:gridSpan w:val="2"/>
            <w:vMerge w:val="continue"/>
            <w:tcBorders>
              <w:left w:val="single" w:color="auto" w:sz="4" w:space="0"/>
              <w:bottom w:val="single" w:color="auto" w:sz="4" w:space="0"/>
              <w:right w:val="single" w:color="auto" w:sz="4" w:space="0"/>
            </w:tcBorders>
            <w:vAlign w:val="center"/>
          </w:tcPr>
          <w:p w14:paraId="5EFD6583">
            <w:pPr>
              <w:jc w:val="center"/>
            </w:pPr>
          </w:p>
        </w:tc>
        <w:tc>
          <w:tcPr>
            <w:tcW w:w="1131" w:type="dxa"/>
            <w:tcBorders>
              <w:top w:val="single" w:color="auto" w:sz="4" w:space="0"/>
              <w:left w:val="single" w:color="auto" w:sz="4" w:space="0"/>
              <w:bottom w:val="single" w:color="auto" w:sz="4" w:space="0"/>
              <w:right w:val="single" w:color="auto" w:sz="4" w:space="0"/>
            </w:tcBorders>
            <w:vAlign w:val="center"/>
          </w:tcPr>
          <w:p w14:paraId="631AC51F">
            <w:pPr>
              <w:jc w:val="center"/>
            </w:pPr>
            <w:r>
              <w:rPr>
                <w:rFonts w:hint="eastAsia"/>
              </w:rPr>
              <w:t>一级医院</w:t>
            </w:r>
          </w:p>
        </w:tc>
        <w:tc>
          <w:tcPr>
            <w:tcW w:w="1139" w:type="dxa"/>
            <w:gridSpan w:val="2"/>
            <w:tcBorders>
              <w:top w:val="single" w:color="auto" w:sz="4" w:space="0"/>
              <w:left w:val="single" w:color="auto" w:sz="4" w:space="0"/>
              <w:bottom w:val="single" w:color="auto" w:sz="4" w:space="0"/>
              <w:right w:val="single" w:color="auto" w:sz="4" w:space="0"/>
            </w:tcBorders>
            <w:vAlign w:val="center"/>
          </w:tcPr>
          <w:p w14:paraId="773566E1">
            <w:pPr>
              <w:jc w:val="center"/>
            </w:pPr>
            <w:r>
              <w:rPr>
                <w:rFonts w:hint="eastAsia"/>
              </w:rPr>
              <w:t>二级医院</w:t>
            </w:r>
          </w:p>
        </w:tc>
        <w:tc>
          <w:tcPr>
            <w:tcW w:w="1136" w:type="dxa"/>
            <w:tcBorders>
              <w:top w:val="single" w:color="auto" w:sz="4" w:space="0"/>
              <w:left w:val="single" w:color="auto" w:sz="4" w:space="0"/>
              <w:bottom w:val="single" w:color="auto" w:sz="4" w:space="0"/>
              <w:right w:val="single" w:color="auto" w:sz="4" w:space="0"/>
            </w:tcBorders>
            <w:vAlign w:val="center"/>
          </w:tcPr>
          <w:p w14:paraId="19F9ECFE">
            <w:pPr>
              <w:jc w:val="center"/>
            </w:pPr>
            <w:r>
              <w:rPr>
                <w:rFonts w:hint="eastAsia"/>
              </w:rPr>
              <w:t>三级医院</w:t>
            </w:r>
          </w:p>
        </w:tc>
        <w:tc>
          <w:tcPr>
            <w:tcW w:w="1268" w:type="dxa"/>
            <w:gridSpan w:val="3"/>
            <w:tcBorders>
              <w:top w:val="single" w:color="auto" w:sz="4" w:space="0"/>
              <w:left w:val="single" w:color="auto" w:sz="4" w:space="0"/>
              <w:bottom w:val="single" w:color="auto" w:sz="4" w:space="0"/>
              <w:right w:val="single" w:color="auto" w:sz="4" w:space="0"/>
            </w:tcBorders>
            <w:vAlign w:val="center"/>
          </w:tcPr>
          <w:p w14:paraId="38530790">
            <w:pPr>
              <w:jc w:val="center"/>
            </w:pPr>
            <w:r>
              <w:rPr>
                <w:rFonts w:hint="eastAsia"/>
              </w:rPr>
              <w:t>一级医院</w:t>
            </w:r>
          </w:p>
        </w:tc>
        <w:tc>
          <w:tcPr>
            <w:tcW w:w="1269" w:type="dxa"/>
            <w:tcBorders>
              <w:top w:val="single" w:color="auto" w:sz="4" w:space="0"/>
              <w:left w:val="single" w:color="auto" w:sz="4" w:space="0"/>
              <w:bottom w:val="single" w:color="auto" w:sz="4" w:space="0"/>
              <w:right w:val="single" w:color="auto" w:sz="4" w:space="0"/>
            </w:tcBorders>
            <w:vAlign w:val="center"/>
          </w:tcPr>
          <w:p w14:paraId="0DFD95C2">
            <w:pPr>
              <w:jc w:val="center"/>
            </w:pPr>
            <w:r>
              <w:rPr>
                <w:rFonts w:hint="eastAsia"/>
              </w:rPr>
              <w:t>二级医院</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95A81B1">
            <w:pPr>
              <w:jc w:val="center"/>
            </w:pPr>
            <w:r>
              <w:rPr>
                <w:rFonts w:hint="eastAsia"/>
              </w:rPr>
              <w:t>三级医院</w:t>
            </w:r>
          </w:p>
        </w:tc>
      </w:tr>
      <w:tr w14:paraId="38C0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14:paraId="04AB12A8">
            <w:pPr>
              <w:jc w:val="center"/>
            </w:pPr>
            <w:r>
              <w:rPr>
                <w:rFonts w:hint="eastAsia"/>
              </w:rPr>
              <w:t>0-10（含）</w:t>
            </w:r>
          </w:p>
        </w:tc>
        <w:tc>
          <w:tcPr>
            <w:tcW w:w="1131" w:type="dxa"/>
            <w:tcBorders>
              <w:top w:val="single" w:color="auto" w:sz="4" w:space="0"/>
              <w:left w:val="single" w:color="auto" w:sz="4" w:space="0"/>
              <w:bottom w:val="single" w:color="auto" w:sz="4" w:space="0"/>
              <w:right w:val="single" w:color="auto" w:sz="4" w:space="0"/>
            </w:tcBorders>
            <w:vAlign w:val="center"/>
          </w:tcPr>
          <w:p w14:paraId="10061E47">
            <w:pPr>
              <w:jc w:val="center"/>
            </w:pPr>
            <w:r>
              <w:rPr>
                <w:rFonts w:hint="eastAsia"/>
              </w:rPr>
              <w:t>98%</w:t>
            </w:r>
          </w:p>
        </w:tc>
        <w:tc>
          <w:tcPr>
            <w:tcW w:w="1139" w:type="dxa"/>
            <w:gridSpan w:val="2"/>
            <w:tcBorders>
              <w:top w:val="single" w:color="auto" w:sz="4" w:space="0"/>
              <w:left w:val="single" w:color="auto" w:sz="4" w:space="0"/>
              <w:bottom w:val="single" w:color="auto" w:sz="4" w:space="0"/>
              <w:right w:val="single" w:color="auto" w:sz="4" w:space="0"/>
            </w:tcBorders>
            <w:vAlign w:val="center"/>
          </w:tcPr>
          <w:p w14:paraId="33BAC41E">
            <w:pPr>
              <w:jc w:val="center"/>
            </w:pPr>
            <w:r>
              <w:rPr>
                <w:rFonts w:hint="eastAsia"/>
              </w:rPr>
              <w:t>92%</w:t>
            </w:r>
          </w:p>
        </w:tc>
        <w:tc>
          <w:tcPr>
            <w:tcW w:w="1136" w:type="dxa"/>
            <w:tcBorders>
              <w:top w:val="single" w:color="auto" w:sz="4" w:space="0"/>
              <w:left w:val="single" w:color="auto" w:sz="4" w:space="0"/>
              <w:bottom w:val="single" w:color="auto" w:sz="4" w:space="0"/>
              <w:right w:val="single" w:color="auto" w:sz="4" w:space="0"/>
            </w:tcBorders>
            <w:vAlign w:val="center"/>
          </w:tcPr>
          <w:p w14:paraId="1E857286">
            <w:pPr>
              <w:jc w:val="center"/>
            </w:pPr>
            <w:r>
              <w:rPr>
                <w:rFonts w:hint="eastAsia"/>
              </w:rPr>
              <w:t>91%</w:t>
            </w:r>
          </w:p>
        </w:tc>
        <w:tc>
          <w:tcPr>
            <w:tcW w:w="1268" w:type="dxa"/>
            <w:gridSpan w:val="3"/>
            <w:tcBorders>
              <w:top w:val="single" w:color="auto" w:sz="4" w:space="0"/>
              <w:left w:val="single" w:color="auto" w:sz="4" w:space="0"/>
              <w:bottom w:val="single" w:color="auto" w:sz="4" w:space="0"/>
              <w:right w:val="single" w:color="auto" w:sz="4" w:space="0"/>
            </w:tcBorders>
            <w:vAlign w:val="center"/>
          </w:tcPr>
          <w:p w14:paraId="6089CFDF">
            <w:pPr>
              <w:jc w:val="center"/>
            </w:pPr>
            <w:r>
              <w:rPr>
                <w:rFonts w:hint="eastAsia"/>
              </w:rPr>
              <w:t>98%</w:t>
            </w:r>
          </w:p>
        </w:tc>
        <w:tc>
          <w:tcPr>
            <w:tcW w:w="1269" w:type="dxa"/>
            <w:tcBorders>
              <w:top w:val="single" w:color="auto" w:sz="4" w:space="0"/>
              <w:left w:val="single" w:color="auto" w:sz="4" w:space="0"/>
              <w:bottom w:val="single" w:color="auto" w:sz="4" w:space="0"/>
              <w:right w:val="single" w:color="auto" w:sz="4" w:space="0"/>
            </w:tcBorders>
            <w:vAlign w:val="center"/>
          </w:tcPr>
          <w:p w14:paraId="2C1BFC9A">
            <w:pPr>
              <w:jc w:val="center"/>
            </w:pPr>
            <w:r>
              <w:rPr>
                <w:rFonts w:hint="eastAsia"/>
              </w:rPr>
              <w:t>96%</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5DF3300E">
            <w:pPr>
              <w:jc w:val="center"/>
            </w:pPr>
            <w:r>
              <w:rPr>
                <w:rFonts w:hint="eastAsia"/>
              </w:rPr>
              <w:t>95%</w:t>
            </w:r>
          </w:p>
        </w:tc>
      </w:tr>
      <w:tr w14:paraId="50DF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14:paraId="53B5A929">
            <w:pPr>
              <w:jc w:val="center"/>
            </w:pPr>
            <w:r>
              <w:rPr>
                <w:rFonts w:hint="eastAsia"/>
              </w:rPr>
              <w:t>10-20（含）</w:t>
            </w:r>
          </w:p>
        </w:tc>
        <w:tc>
          <w:tcPr>
            <w:tcW w:w="1131" w:type="dxa"/>
            <w:tcBorders>
              <w:top w:val="single" w:color="auto" w:sz="4" w:space="0"/>
              <w:left w:val="single" w:color="auto" w:sz="4" w:space="0"/>
              <w:bottom w:val="single" w:color="auto" w:sz="4" w:space="0"/>
              <w:right w:val="single" w:color="auto" w:sz="4" w:space="0"/>
            </w:tcBorders>
            <w:vAlign w:val="center"/>
          </w:tcPr>
          <w:p w14:paraId="4A17FA58">
            <w:pPr>
              <w:jc w:val="center"/>
            </w:pPr>
            <w:r>
              <w:rPr>
                <w:rFonts w:hint="eastAsia"/>
              </w:rPr>
              <w:t>95%</w:t>
            </w:r>
          </w:p>
        </w:tc>
        <w:tc>
          <w:tcPr>
            <w:tcW w:w="1139" w:type="dxa"/>
            <w:gridSpan w:val="2"/>
            <w:tcBorders>
              <w:top w:val="single" w:color="auto" w:sz="4" w:space="0"/>
              <w:left w:val="single" w:color="auto" w:sz="4" w:space="0"/>
              <w:bottom w:val="single" w:color="auto" w:sz="4" w:space="0"/>
              <w:right w:val="single" w:color="auto" w:sz="4" w:space="0"/>
            </w:tcBorders>
            <w:vAlign w:val="center"/>
          </w:tcPr>
          <w:p w14:paraId="6555B980">
            <w:pPr>
              <w:jc w:val="center"/>
            </w:pPr>
            <w:r>
              <w:rPr>
                <w:rFonts w:hint="eastAsia"/>
              </w:rPr>
              <w:t>92%</w:t>
            </w:r>
          </w:p>
        </w:tc>
        <w:tc>
          <w:tcPr>
            <w:tcW w:w="1136" w:type="dxa"/>
            <w:tcBorders>
              <w:top w:val="single" w:color="auto" w:sz="4" w:space="0"/>
              <w:left w:val="single" w:color="auto" w:sz="4" w:space="0"/>
              <w:bottom w:val="single" w:color="auto" w:sz="4" w:space="0"/>
              <w:right w:val="single" w:color="auto" w:sz="4" w:space="0"/>
            </w:tcBorders>
            <w:vAlign w:val="center"/>
          </w:tcPr>
          <w:p w14:paraId="7B20B0C2">
            <w:pPr>
              <w:jc w:val="center"/>
            </w:pPr>
            <w:r>
              <w:rPr>
                <w:rFonts w:hint="eastAsia"/>
              </w:rPr>
              <w:t>90%</w:t>
            </w:r>
          </w:p>
        </w:tc>
        <w:tc>
          <w:tcPr>
            <w:tcW w:w="1268" w:type="dxa"/>
            <w:gridSpan w:val="3"/>
            <w:tcBorders>
              <w:top w:val="single" w:color="auto" w:sz="4" w:space="0"/>
              <w:left w:val="single" w:color="auto" w:sz="4" w:space="0"/>
              <w:bottom w:val="single" w:color="auto" w:sz="4" w:space="0"/>
              <w:right w:val="single" w:color="auto" w:sz="4" w:space="0"/>
            </w:tcBorders>
            <w:vAlign w:val="center"/>
          </w:tcPr>
          <w:p w14:paraId="3F59F97C">
            <w:pPr>
              <w:jc w:val="center"/>
            </w:pPr>
            <w:r>
              <w:rPr>
                <w:rFonts w:hint="eastAsia"/>
              </w:rPr>
              <w:t>95%</w:t>
            </w:r>
          </w:p>
        </w:tc>
        <w:tc>
          <w:tcPr>
            <w:tcW w:w="1269" w:type="dxa"/>
            <w:tcBorders>
              <w:top w:val="single" w:color="auto" w:sz="4" w:space="0"/>
              <w:left w:val="single" w:color="auto" w:sz="4" w:space="0"/>
              <w:bottom w:val="single" w:color="auto" w:sz="4" w:space="0"/>
              <w:right w:val="single" w:color="auto" w:sz="4" w:space="0"/>
            </w:tcBorders>
            <w:vAlign w:val="center"/>
          </w:tcPr>
          <w:p w14:paraId="46B56362">
            <w:pPr>
              <w:jc w:val="center"/>
            </w:pPr>
            <w:r>
              <w:rPr>
                <w:rFonts w:hint="eastAsia"/>
              </w:rPr>
              <w:t>92%</w:t>
            </w:r>
          </w:p>
        </w:tc>
        <w:tc>
          <w:tcPr>
            <w:tcW w:w="1269" w:type="dxa"/>
            <w:gridSpan w:val="2"/>
            <w:tcBorders>
              <w:top w:val="single" w:color="auto" w:sz="4" w:space="0"/>
              <w:left w:val="single" w:color="auto" w:sz="4" w:space="0"/>
              <w:bottom w:val="single" w:color="auto" w:sz="4" w:space="0"/>
              <w:right w:val="single" w:color="auto" w:sz="4" w:space="0"/>
            </w:tcBorders>
            <w:vAlign w:val="center"/>
          </w:tcPr>
          <w:p w14:paraId="33E67A43">
            <w:pPr>
              <w:jc w:val="center"/>
            </w:pPr>
            <w:r>
              <w:rPr>
                <w:rFonts w:hint="eastAsia"/>
              </w:rPr>
              <w:t>90%</w:t>
            </w:r>
          </w:p>
        </w:tc>
      </w:tr>
      <w:tr w14:paraId="6820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Borders>
              <w:top w:val="single" w:color="auto" w:sz="4" w:space="0"/>
              <w:left w:val="single" w:color="auto" w:sz="4" w:space="0"/>
              <w:bottom w:val="single" w:color="auto" w:sz="4" w:space="0"/>
              <w:right w:val="single" w:color="auto" w:sz="4" w:space="0"/>
            </w:tcBorders>
            <w:vAlign w:val="center"/>
          </w:tcPr>
          <w:p w14:paraId="6BD0A46A">
            <w:pPr>
              <w:jc w:val="center"/>
            </w:pPr>
            <w:r>
              <w:rPr>
                <w:rFonts w:hint="eastAsia"/>
              </w:rPr>
              <w:t>20-30（含）</w:t>
            </w:r>
          </w:p>
        </w:tc>
        <w:tc>
          <w:tcPr>
            <w:tcW w:w="7212" w:type="dxa"/>
            <w:gridSpan w:val="10"/>
            <w:tcBorders>
              <w:top w:val="single" w:color="auto" w:sz="4" w:space="0"/>
              <w:left w:val="single" w:color="auto" w:sz="4" w:space="0"/>
              <w:bottom w:val="single" w:color="auto" w:sz="4" w:space="0"/>
              <w:right w:val="single" w:color="auto" w:sz="4" w:space="0"/>
            </w:tcBorders>
            <w:vAlign w:val="center"/>
          </w:tcPr>
          <w:p w14:paraId="3DED563B">
            <w:pPr>
              <w:jc w:val="center"/>
            </w:pPr>
            <w:r>
              <w:rPr>
                <w:rFonts w:hint="eastAsia"/>
              </w:rPr>
              <w:t>80%</w:t>
            </w:r>
          </w:p>
        </w:tc>
      </w:tr>
      <w:tr w14:paraId="24FC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72" w:type="dxa"/>
            <w:gridSpan w:val="12"/>
            <w:tcBorders>
              <w:top w:val="single" w:color="auto" w:sz="4" w:space="0"/>
              <w:left w:val="single" w:color="auto" w:sz="4" w:space="0"/>
              <w:bottom w:val="single" w:color="auto" w:sz="4" w:space="0"/>
              <w:right w:val="single" w:color="auto" w:sz="4" w:space="0"/>
            </w:tcBorders>
          </w:tcPr>
          <w:p w14:paraId="7BFF3004">
            <w:r>
              <w:rPr>
                <w:rFonts w:hint="eastAsia"/>
              </w:rPr>
              <w:t>说明：1、特殊病有多个起付标准的，统一合并为600元，严重精神障碍患者不设起付标准。</w:t>
            </w:r>
          </w:p>
          <w:p w14:paraId="26C23944">
            <w:pPr>
              <w:pStyle w:val="11"/>
              <w:ind w:left="420" w:leftChars="200" w:firstLine="210" w:firstLineChars="100"/>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shd w:val="clear" w:color="auto" w:fill="FFFFFF"/>
              </w:rPr>
              <w:t>2.参保人员在异地进行恶性肿瘤（放疗、化疗、介入治疗、生物靶向药物治疗、内</w:t>
            </w:r>
          </w:p>
          <w:p w14:paraId="512D3B15">
            <w:pPr>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shd w:val="clear" w:color="auto" w:fill="FFFFFF"/>
              </w:rPr>
              <w:t>分泌治疗）的，应选择一家异地就医门诊联网结算的二级及以上医疗机构作为定点医疗机构。</w:t>
            </w:r>
          </w:p>
          <w:p w14:paraId="388743D1">
            <w:pPr>
              <w:ind w:firstLine="420" w:firstLineChars="200"/>
              <w:rPr>
                <w:rFonts w:hint="eastAsia"/>
              </w:rPr>
            </w:pPr>
            <w:r>
              <w:rPr>
                <w:rFonts w:hint="eastAsia"/>
              </w:rPr>
              <w:t>参保人员在异地进行终末期肾病门诊透析治疗的，应选择一家异地就医门诊联网结算的具备透析治疗资质的医疗机构。</w:t>
            </w:r>
          </w:p>
          <w:p w14:paraId="36DB32F9">
            <w:pPr>
              <w:ind w:firstLine="420" w:firstLineChars="200"/>
              <w:rPr>
                <w:rFonts w:hint="eastAsia"/>
              </w:rPr>
            </w:pPr>
            <w:r>
              <w:rPr>
                <w:rFonts w:hint="eastAsia"/>
              </w:rPr>
              <w:t>参保人员在异地进行门诊器官移植抗排异、肺动脉高压治疗的，应选择一家异地就医门诊联网结算的三级医疗机构。</w:t>
            </w:r>
          </w:p>
          <w:p w14:paraId="5631BFB4">
            <w:pPr>
              <w:ind w:firstLine="420" w:firstLineChars="200"/>
              <w:rPr>
                <w:rFonts w:eastAsia="微软雅黑"/>
              </w:rPr>
            </w:pPr>
            <w:r>
              <w:rPr>
                <w:rFonts w:hint="eastAsia"/>
              </w:rPr>
              <w:t>如需变更定点医疗机构，需在就诊前通过参保地医保经办窗口或电话传真、邮寄等线上渠道办理备案变更手续。参保人员在非选定的</w:t>
            </w:r>
            <w:r>
              <w:rPr>
                <w:rFonts w:hint="eastAsia" w:ascii="宋体" w:hAnsi="宋体" w:eastAsia="宋体" w:cs="宋体"/>
                <w:color w:val="000000" w:themeColor="text1"/>
                <w:szCs w:val="21"/>
                <w:shd w:val="clear" w:color="auto" w:fill="FFFFFF"/>
              </w:rPr>
              <w:t>医疗机构发生的医疗费用，不享受相关特殊病待遇。</w:t>
            </w:r>
          </w:p>
        </w:tc>
      </w:tr>
    </w:tbl>
    <w:p w14:paraId="1A6B2352">
      <w:pPr>
        <w:numPr>
          <w:ilvl w:val="0"/>
          <w:numId w:val="1"/>
        </w:numPr>
        <w:rPr>
          <w:rFonts w:ascii="宋体" w:hAnsi="宋体" w:eastAsia="宋体" w:cs="宋体"/>
          <w:b/>
          <w:bCs/>
          <w:sz w:val="28"/>
          <w:szCs w:val="28"/>
        </w:rPr>
      </w:pPr>
      <w:r>
        <w:rPr>
          <w:rFonts w:hint="eastAsia" w:ascii="宋体" w:hAnsi="宋体" w:eastAsia="宋体" w:cs="宋体"/>
          <w:b/>
          <w:bCs/>
          <w:sz w:val="28"/>
          <w:szCs w:val="28"/>
        </w:rPr>
        <w:t>住院待遇（2024年1月1日起）</w:t>
      </w:r>
    </w:p>
    <w:tbl>
      <w:tblPr>
        <w:tblStyle w:val="7"/>
        <w:tblpPr w:leftFromText="180" w:rightFromText="180" w:vertAnchor="text" w:horzAnchor="page" w:tblpXSpec="center" w:tblpY="372"/>
        <w:tblOverlap w:val="never"/>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780"/>
        <w:gridCol w:w="1153"/>
        <w:gridCol w:w="1153"/>
        <w:gridCol w:w="741"/>
        <w:gridCol w:w="851"/>
        <w:gridCol w:w="850"/>
        <w:gridCol w:w="851"/>
        <w:gridCol w:w="850"/>
        <w:gridCol w:w="851"/>
      </w:tblGrid>
      <w:tr w14:paraId="4DEA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14:paraId="120D7520">
            <w:pPr>
              <w:jc w:val="center"/>
            </w:pPr>
            <w:r>
              <w:rPr>
                <w:rFonts w:hint="eastAsia"/>
              </w:rPr>
              <w:t>医疗机构等级</w:t>
            </w:r>
          </w:p>
        </w:tc>
        <w:tc>
          <w:tcPr>
            <w:tcW w:w="780" w:type="dxa"/>
            <w:vAlign w:val="center"/>
          </w:tcPr>
          <w:p w14:paraId="442906E7">
            <w:pPr>
              <w:jc w:val="center"/>
            </w:pPr>
            <w:r>
              <w:rPr>
                <w:rFonts w:hint="eastAsia"/>
              </w:rPr>
              <w:t>起付标准</w:t>
            </w:r>
          </w:p>
        </w:tc>
        <w:tc>
          <w:tcPr>
            <w:tcW w:w="1153" w:type="dxa"/>
            <w:vMerge w:val="restart"/>
            <w:vAlign w:val="center"/>
          </w:tcPr>
          <w:p w14:paraId="07DADA11">
            <w:pPr>
              <w:jc w:val="center"/>
            </w:pPr>
            <w:r>
              <w:rPr>
                <w:rFonts w:hint="eastAsia"/>
              </w:rPr>
              <w:t>起付标准以上最高限额以下</w:t>
            </w:r>
          </w:p>
        </w:tc>
        <w:tc>
          <w:tcPr>
            <w:tcW w:w="1153" w:type="dxa"/>
            <w:vMerge w:val="restart"/>
            <w:vAlign w:val="center"/>
          </w:tcPr>
          <w:p w14:paraId="4D3F5053">
            <w:pPr>
              <w:jc w:val="center"/>
            </w:pPr>
            <w:r>
              <w:rPr>
                <w:rFonts w:hint="eastAsia"/>
              </w:rPr>
              <w:t>费用段</w:t>
            </w:r>
          </w:p>
          <w:p w14:paraId="1CC791F7">
            <w:pPr>
              <w:jc w:val="center"/>
            </w:pPr>
            <w:r>
              <w:rPr>
                <w:rFonts w:hint="eastAsia"/>
              </w:rPr>
              <w:t>（万元）</w:t>
            </w:r>
          </w:p>
        </w:tc>
        <w:tc>
          <w:tcPr>
            <w:tcW w:w="4994" w:type="dxa"/>
            <w:gridSpan w:val="6"/>
            <w:vAlign w:val="center"/>
          </w:tcPr>
          <w:p w14:paraId="4D4AB943">
            <w:pPr>
              <w:jc w:val="center"/>
            </w:pPr>
            <w:r>
              <w:rPr>
                <w:rFonts w:hint="eastAsia"/>
              </w:rPr>
              <w:t>报支比例</w:t>
            </w:r>
          </w:p>
        </w:tc>
      </w:tr>
      <w:tr w14:paraId="2F80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14:paraId="710BEA10">
            <w:pPr>
              <w:jc w:val="center"/>
            </w:pPr>
            <w:r>
              <w:rPr>
                <w:rFonts w:hint="eastAsia"/>
              </w:rPr>
              <w:t>三级综合</w:t>
            </w:r>
          </w:p>
        </w:tc>
        <w:tc>
          <w:tcPr>
            <w:tcW w:w="780" w:type="dxa"/>
            <w:vAlign w:val="center"/>
          </w:tcPr>
          <w:p w14:paraId="4B76D12D">
            <w:pPr>
              <w:jc w:val="center"/>
            </w:pPr>
            <w:r>
              <w:rPr>
                <w:rFonts w:hint="eastAsia"/>
              </w:rPr>
              <w:t>1000</w:t>
            </w:r>
          </w:p>
        </w:tc>
        <w:tc>
          <w:tcPr>
            <w:tcW w:w="1153" w:type="dxa"/>
            <w:vMerge w:val="continue"/>
            <w:vAlign w:val="center"/>
          </w:tcPr>
          <w:p w14:paraId="7A9CC961">
            <w:pPr>
              <w:jc w:val="center"/>
            </w:pPr>
          </w:p>
        </w:tc>
        <w:tc>
          <w:tcPr>
            <w:tcW w:w="1153" w:type="dxa"/>
            <w:vMerge w:val="continue"/>
            <w:vAlign w:val="center"/>
          </w:tcPr>
          <w:p w14:paraId="2EF75A6D">
            <w:pPr>
              <w:jc w:val="center"/>
            </w:pPr>
          </w:p>
        </w:tc>
        <w:tc>
          <w:tcPr>
            <w:tcW w:w="2442" w:type="dxa"/>
            <w:gridSpan w:val="3"/>
            <w:vAlign w:val="center"/>
          </w:tcPr>
          <w:p w14:paraId="3C213EEE">
            <w:pPr>
              <w:jc w:val="center"/>
            </w:pPr>
            <w:r>
              <w:rPr>
                <w:rFonts w:hint="eastAsia"/>
              </w:rPr>
              <w:t>在职</w:t>
            </w:r>
          </w:p>
        </w:tc>
        <w:tc>
          <w:tcPr>
            <w:tcW w:w="2552" w:type="dxa"/>
            <w:gridSpan w:val="3"/>
            <w:vAlign w:val="center"/>
          </w:tcPr>
          <w:p w14:paraId="7376D002">
            <w:pPr>
              <w:jc w:val="center"/>
            </w:pPr>
            <w:r>
              <w:rPr>
                <w:rFonts w:hint="eastAsia"/>
              </w:rPr>
              <w:t>退休</w:t>
            </w:r>
          </w:p>
        </w:tc>
      </w:tr>
      <w:tr w14:paraId="5FB5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14:paraId="7609B9EE">
            <w:pPr>
              <w:jc w:val="center"/>
            </w:pPr>
            <w:r>
              <w:rPr>
                <w:rFonts w:hint="eastAsia"/>
              </w:rPr>
              <w:t>三级专科</w:t>
            </w:r>
          </w:p>
        </w:tc>
        <w:tc>
          <w:tcPr>
            <w:tcW w:w="780" w:type="dxa"/>
            <w:vAlign w:val="center"/>
          </w:tcPr>
          <w:p w14:paraId="278AC929">
            <w:pPr>
              <w:jc w:val="center"/>
            </w:pPr>
            <w:r>
              <w:rPr>
                <w:rFonts w:hint="eastAsia"/>
              </w:rPr>
              <w:t>800</w:t>
            </w:r>
          </w:p>
        </w:tc>
        <w:tc>
          <w:tcPr>
            <w:tcW w:w="1153" w:type="dxa"/>
            <w:vMerge w:val="continue"/>
            <w:vAlign w:val="center"/>
          </w:tcPr>
          <w:p w14:paraId="75E86D67">
            <w:pPr>
              <w:jc w:val="center"/>
            </w:pPr>
          </w:p>
        </w:tc>
        <w:tc>
          <w:tcPr>
            <w:tcW w:w="1153" w:type="dxa"/>
            <w:vMerge w:val="continue"/>
            <w:vAlign w:val="center"/>
          </w:tcPr>
          <w:p w14:paraId="4AC4A7B9">
            <w:pPr>
              <w:jc w:val="center"/>
            </w:pPr>
          </w:p>
        </w:tc>
        <w:tc>
          <w:tcPr>
            <w:tcW w:w="741" w:type="dxa"/>
            <w:vAlign w:val="center"/>
          </w:tcPr>
          <w:p w14:paraId="57BB17E4">
            <w:pPr>
              <w:jc w:val="center"/>
            </w:pPr>
            <w:r>
              <w:rPr>
                <w:rFonts w:hint="eastAsia"/>
              </w:rPr>
              <w:t>一级医院</w:t>
            </w:r>
          </w:p>
        </w:tc>
        <w:tc>
          <w:tcPr>
            <w:tcW w:w="851" w:type="dxa"/>
            <w:vAlign w:val="center"/>
          </w:tcPr>
          <w:p w14:paraId="5832C97A">
            <w:pPr>
              <w:jc w:val="center"/>
            </w:pPr>
            <w:r>
              <w:rPr>
                <w:rFonts w:hint="eastAsia"/>
              </w:rPr>
              <w:t>二级医院</w:t>
            </w:r>
          </w:p>
        </w:tc>
        <w:tc>
          <w:tcPr>
            <w:tcW w:w="850" w:type="dxa"/>
            <w:vAlign w:val="center"/>
          </w:tcPr>
          <w:p w14:paraId="3917C4FB">
            <w:pPr>
              <w:jc w:val="center"/>
            </w:pPr>
            <w:r>
              <w:rPr>
                <w:rFonts w:hint="eastAsia"/>
              </w:rPr>
              <w:t>三级医院</w:t>
            </w:r>
          </w:p>
        </w:tc>
        <w:tc>
          <w:tcPr>
            <w:tcW w:w="851" w:type="dxa"/>
            <w:vAlign w:val="center"/>
          </w:tcPr>
          <w:p w14:paraId="70CB3DB5">
            <w:pPr>
              <w:jc w:val="center"/>
            </w:pPr>
            <w:r>
              <w:rPr>
                <w:rFonts w:hint="eastAsia"/>
              </w:rPr>
              <w:t>一级医院</w:t>
            </w:r>
          </w:p>
        </w:tc>
        <w:tc>
          <w:tcPr>
            <w:tcW w:w="850" w:type="dxa"/>
            <w:vAlign w:val="center"/>
          </w:tcPr>
          <w:p w14:paraId="2BC469B8">
            <w:pPr>
              <w:jc w:val="center"/>
            </w:pPr>
            <w:r>
              <w:rPr>
                <w:rFonts w:hint="eastAsia"/>
              </w:rPr>
              <w:t>二级医院</w:t>
            </w:r>
          </w:p>
        </w:tc>
        <w:tc>
          <w:tcPr>
            <w:tcW w:w="851" w:type="dxa"/>
            <w:vAlign w:val="center"/>
          </w:tcPr>
          <w:p w14:paraId="273CFCBA">
            <w:pPr>
              <w:jc w:val="center"/>
            </w:pPr>
            <w:r>
              <w:rPr>
                <w:rFonts w:hint="eastAsia"/>
              </w:rPr>
              <w:t>三级医院</w:t>
            </w:r>
          </w:p>
        </w:tc>
      </w:tr>
      <w:tr w14:paraId="09F4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14:paraId="75273530">
            <w:pPr>
              <w:jc w:val="center"/>
            </w:pPr>
            <w:r>
              <w:rPr>
                <w:rFonts w:hint="eastAsia"/>
              </w:rPr>
              <w:t>二级</w:t>
            </w:r>
          </w:p>
        </w:tc>
        <w:tc>
          <w:tcPr>
            <w:tcW w:w="780" w:type="dxa"/>
            <w:vAlign w:val="center"/>
          </w:tcPr>
          <w:p w14:paraId="0592DA59">
            <w:pPr>
              <w:jc w:val="center"/>
            </w:pPr>
            <w:r>
              <w:rPr>
                <w:rFonts w:hint="eastAsia"/>
              </w:rPr>
              <w:t>750</w:t>
            </w:r>
          </w:p>
        </w:tc>
        <w:tc>
          <w:tcPr>
            <w:tcW w:w="1153" w:type="dxa"/>
            <w:vMerge w:val="continue"/>
            <w:vAlign w:val="center"/>
          </w:tcPr>
          <w:p w14:paraId="1CC7E72D">
            <w:pPr>
              <w:jc w:val="center"/>
            </w:pPr>
          </w:p>
        </w:tc>
        <w:tc>
          <w:tcPr>
            <w:tcW w:w="1153" w:type="dxa"/>
            <w:vAlign w:val="center"/>
          </w:tcPr>
          <w:p w14:paraId="2FDE07B3">
            <w:pPr>
              <w:jc w:val="center"/>
            </w:pPr>
            <w:r>
              <w:rPr>
                <w:rFonts w:hint="eastAsia"/>
              </w:rPr>
              <w:t>0-10（含）</w:t>
            </w:r>
          </w:p>
        </w:tc>
        <w:tc>
          <w:tcPr>
            <w:tcW w:w="741" w:type="dxa"/>
            <w:vAlign w:val="center"/>
          </w:tcPr>
          <w:p w14:paraId="0C1D0520">
            <w:pPr>
              <w:jc w:val="center"/>
            </w:pPr>
            <w:r>
              <w:rPr>
                <w:rFonts w:hint="eastAsia"/>
              </w:rPr>
              <w:t>98%</w:t>
            </w:r>
          </w:p>
        </w:tc>
        <w:tc>
          <w:tcPr>
            <w:tcW w:w="851" w:type="dxa"/>
            <w:vAlign w:val="center"/>
          </w:tcPr>
          <w:p w14:paraId="49BC8095">
            <w:pPr>
              <w:jc w:val="center"/>
            </w:pPr>
            <w:r>
              <w:rPr>
                <w:rFonts w:hint="eastAsia"/>
              </w:rPr>
              <w:t>92%</w:t>
            </w:r>
          </w:p>
        </w:tc>
        <w:tc>
          <w:tcPr>
            <w:tcW w:w="850" w:type="dxa"/>
            <w:vAlign w:val="center"/>
          </w:tcPr>
          <w:p w14:paraId="26DD98FD">
            <w:pPr>
              <w:jc w:val="center"/>
            </w:pPr>
            <w:r>
              <w:rPr>
                <w:rFonts w:hint="eastAsia"/>
              </w:rPr>
              <w:t>91%</w:t>
            </w:r>
          </w:p>
        </w:tc>
        <w:tc>
          <w:tcPr>
            <w:tcW w:w="851" w:type="dxa"/>
            <w:vAlign w:val="center"/>
          </w:tcPr>
          <w:p w14:paraId="7BAC4DD6">
            <w:pPr>
              <w:jc w:val="center"/>
            </w:pPr>
            <w:r>
              <w:rPr>
                <w:rFonts w:hint="eastAsia"/>
              </w:rPr>
              <w:t>98%</w:t>
            </w:r>
          </w:p>
        </w:tc>
        <w:tc>
          <w:tcPr>
            <w:tcW w:w="850" w:type="dxa"/>
            <w:vAlign w:val="center"/>
          </w:tcPr>
          <w:p w14:paraId="1C055878">
            <w:pPr>
              <w:jc w:val="center"/>
            </w:pPr>
            <w:r>
              <w:rPr>
                <w:rFonts w:hint="eastAsia"/>
              </w:rPr>
              <w:t>96%</w:t>
            </w:r>
          </w:p>
        </w:tc>
        <w:tc>
          <w:tcPr>
            <w:tcW w:w="851" w:type="dxa"/>
            <w:vAlign w:val="center"/>
          </w:tcPr>
          <w:p w14:paraId="52BE851A">
            <w:pPr>
              <w:jc w:val="center"/>
            </w:pPr>
            <w:r>
              <w:rPr>
                <w:rFonts w:hint="eastAsia"/>
              </w:rPr>
              <w:t>95%</w:t>
            </w:r>
          </w:p>
        </w:tc>
      </w:tr>
      <w:tr w14:paraId="7112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14:paraId="4255BF9C">
            <w:pPr>
              <w:jc w:val="center"/>
            </w:pPr>
            <w:r>
              <w:rPr>
                <w:rFonts w:hint="eastAsia"/>
              </w:rPr>
              <w:t>一级</w:t>
            </w:r>
          </w:p>
        </w:tc>
        <w:tc>
          <w:tcPr>
            <w:tcW w:w="780" w:type="dxa"/>
            <w:vAlign w:val="center"/>
          </w:tcPr>
          <w:p w14:paraId="3BE33158">
            <w:pPr>
              <w:jc w:val="center"/>
            </w:pPr>
            <w:r>
              <w:rPr>
                <w:rFonts w:hint="eastAsia"/>
              </w:rPr>
              <w:t>250</w:t>
            </w:r>
          </w:p>
        </w:tc>
        <w:tc>
          <w:tcPr>
            <w:tcW w:w="1153" w:type="dxa"/>
            <w:vMerge w:val="continue"/>
            <w:vAlign w:val="center"/>
          </w:tcPr>
          <w:p w14:paraId="47476EEF">
            <w:pPr>
              <w:jc w:val="center"/>
            </w:pPr>
          </w:p>
        </w:tc>
        <w:tc>
          <w:tcPr>
            <w:tcW w:w="1153" w:type="dxa"/>
            <w:vAlign w:val="center"/>
          </w:tcPr>
          <w:p w14:paraId="69A7B69C">
            <w:pPr>
              <w:jc w:val="center"/>
            </w:pPr>
            <w:r>
              <w:rPr>
                <w:rFonts w:hint="eastAsia"/>
              </w:rPr>
              <w:t>10-20（含）</w:t>
            </w:r>
          </w:p>
        </w:tc>
        <w:tc>
          <w:tcPr>
            <w:tcW w:w="741" w:type="dxa"/>
            <w:vAlign w:val="center"/>
          </w:tcPr>
          <w:p w14:paraId="29B7348D">
            <w:pPr>
              <w:jc w:val="center"/>
            </w:pPr>
            <w:r>
              <w:rPr>
                <w:rFonts w:hint="eastAsia"/>
              </w:rPr>
              <w:t>95%</w:t>
            </w:r>
          </w:p>
        </w:tc>
        <w:tc>
          <w:tcPr>
            <w:tcW w:w="851" w:type="dxa"/>
            <w:vAlign w:val="center"/>
          </w:tcPr>
          <w:p w14:paraId="65AF38B2">
            <w:pPr>
              <w:jc w:val="center"/>
            </w:pPr>
            <w:r>
              <w:rPr>
                <w:rFonts w:hint="eastAsia"/>
              </w:rPr>
              <w:t>92%</w:t>
            </w:r>
          </w:p>
        </w:tc>
        <w:tc>
          <w:tcPr>
            <w:tcW w:w="850" w:type="dxa"/>
            <w:vAlign w:val="center"/>
          </w:tcPr>
          <w:p w14:paraId="3136ED06">
            <w:pPr>
              <w:jc w:val="center"/>
            </w:pPr>
            <w:r>
              <w:rPr>
                <w:rFonts w:hint="eastAsia"/>
              </w:rPr>
              <w:t>90%</w:t>
            </w:r>
          </w:p>
        </w:tc>
        <w:tc>
          <w:tcPr>
            <w:tcW w:w="851" w:type="dxa"/>
            <w:vAlign w:val="center"/>
          </w:tcPr>
          <w:p w14:paraId="26D168A5">
            <w:pPr>
              <w:jc w:val="center"/>
            </w:pPr>
            <w:r>
              <w:rPr>
                <w:rFonts w:hint="eastAsia"/>
              </w:rPr>
              <w:t>95%</w:t>
            </w:r>
          </w:p>
        </w:tc>
        <w:tc>
          <w:tcPr>
            <w:tcW w:w="850" w:type="dxa"/>
            <w:vAlign w:val="center"/>
          </w:tcPr>
          <w:p w14:paraId="039F67AB">
            <w:pPr>
              <w:jc w:val="center"/>
            </w:pPr>
            <w:r>
              <w:rPr>
                <w:rFonts w:hint="eastAsia"/>
              </w:rPr>
              <w:t>92%</w:t>
            </w:r>
          </w:p>
        </w:tc>
        <w:tc>
          <w:tcPr>
            <w:tcW w:w="851" w:type="dxa"/>
            <w:vAlign w:val="center"/>
          </w:tcPr>
          <w:p w14:paraId="65EDA270">
            <w:pPr>
              <w:jc w:val="center"/>
            </w:pPr>
            <w:r>
              <w:rPr>
                <w:rFonts w:hint="eastAsia"/>
              </w:rPr>
              <w:t>90%</w:t>
            </w:r>
          </w:p>
        </w:tc>
      </w:tr>
      <w:tr w14:paraId="77AA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14:paraId="26B2E605">
            <w:pPr>
              <w:jc w:val="center"/>
            </w:pPr>
            <w:r>
              <w:rPr>
                <w:rFonts w:hint="eastAsia"/>
              </w:rPr>
              <w:t>社区</w:t>
            </w:r>
          </w:p>
        </w:tc>
        <w:tc>
          <w:tcPr>
            <w:tcW w:w="780" w:type="dxa"/>
            <w:vAlign w:val="center"/>
          </w:tcPr>
          <w:p w14:paraId="5047DA20">
            <w:pPr>
              <w:jc w:val="center"/>
            </w:pPr>
            <w:r>
              <w:rPr>
                <w:rFonts w:hint="eastAsia"/>
              </w:rPr>
              <w:t>200</w:t>
            </w:r>
          </w:p>
        </w:tc>
        <w:tc>
          <w:tcPr>
            <w:tcW w:w="1153" w:type="dxa"/>
            <w:vMerge w:val="continue"/>
            <w:vAlign w:val="center"/>
          </w:tcPr>
          <w:p w14:paraId="22EEE1A1">
            <w:pPr>
              <w:jc w:val="center"/>
            </w:pPr>
          </w:p>
        </w:tc>
        <w:tc>
          <w:tcPr>
            <w:tcW w:w="1153" w:type="dxa"/>
            <w:vAlign w:val="center"/>
          </w:tcPr>
          <w:p w14:paraId="4BC101C2">
            <w:pPr>
              <w:jc w:val="center"/>
            </w:pPr>
            <w:r>
              <w:rPr>
                <w:rFonts w:hint="eastAsia"/>
              </w:rPr>
              <w:t>20-30（含）</w:t>
            </w:r>
          </w:p>
        </w:tc>
        <w:tc>
          <w:tcPr>
            <w:tcW w:w="741" w:type="dxa"/>
            <w:vAlign w:val="center"/>
          </w:tcPr>
          <w:p w14:paraId="34778582">
            <w:pPr>
              <w:jc w:val="center"/>
            </w:pPr>
            <w:r>
              <w:rPr>
                <w:rFonts w:hint="eastAsia"/>
              </w:rPr>
              <w:t>80%</w:t>
            </w:r>
          </w:p>
        </w:tc>
        <w:tc>
          <w:tcPr>
            <w:tcW w:w="851" w:type="dxa"/>
            <w:vAlign w:val="center"/>
          </w:tcPr>
          <w:p w14:paraId="16AA9ACD">
            <w:pPr>
              <w:jc w:val="center"/>
            </w:pPr>
            <w:r>
              <w:rPr>
                <w:rFonts w:hint="eastAsia"/>
              </w:rPr>
              <w:t>80%</w:t>
            </w:r>
          </w:p>
        </w:tc>
        <w:tc>
          <w:tcPr>
            <w:tcW w:w="850" w:type="dxa"/>
            <w:vAlign w:val="center"/>
          </w:tcPr>
          <w:p w14:paraId="60727D84">
            <w:pPr>
              <w:jc w:val="center"/>
            </w:pPr>
            <w:r>
              <w:rPr>
                <w:rFonts w:hint="eastAsia"/>
              </w:rPr>
              <w:t>80%</w:t>
            </w:r>
          </w:p>
        </w:tc>
        <w:tc>
          <w:tcPr>
            <w:tcW w:w="851" w:type="dxa"/>
            <w:vAlign w:val="center"/>
          </w:tcPr>
          <w:p w14:paraId="670C3686">
            <w:pPr>
              <w:jc w:val="center"/>
            </w:pPr>
            <w:r>
              <w:rPr>
                <w:rFonts w:hint="eastAsia"/>
              </w:rPr>
              <w:t>80%</w:t>
            </w:r>
          </w:p>
        </w:tc>
        <w:tc>
          <w:tcPr>
            <w:tcW w:w="850" w:type="dxa"/>
            <w:vAlign w:val="center"/>
          </w:tcPr>
          <w:p w14:paraId="158CCF99">
            <w:pPr>
              <w:jc w:val="center"/>
            </w:pPr>
            <w:r>
              <w:rPr>
                <w:rFonts w:hint="eastAsia"/>
              </w:rPr>
              <w:t>80%</w:t>
            </w:r>
          </w:p>
        </w:tc>
        <w:tc>
          <w:tcPr>
            <w:tcW w:w="851" w:type="dxa"/>
            <w:vAlign w:val="center"/>
          </w:tcPr>
          <w:p w14:paraId="34892837">
            <w:pPr>
              <w:jc w:val="center"/>
            </w:pPr>
            <w:r>
              <w:rPr>
                <w:rFonts w:hint="eastAsia"/>
              </w:rPr>
              <w:t>80%</w:t>
            </w:r>
          </w:p>
        </w:tc>
      </w:tr>
      <w:tr w14:paraId="13A3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2" w:type="dxa"/>
            <w:vAlign w:val="center"/>
          </w:tcPr>
          <w:p w14:paraId="0B25A2B1">
            <w:pPr>
              <w:jc w:val="center"/>
            </w:pPr>
            <w:r>
              <w:rPr>
                <w:rFonts w:hint="eastAsia"/>
              </w:rPr>
              <w:t>家床</w:t>
            </w:r>
          </w:p>
        </w:tc>
        <w:tc>
          <w:tcPr>
            <w:tcW w:w="780" w:type="dxa"/>
            <w:vAlign w:val="center"/>
          </w:tcPr>
          <w:p w14:paraId="5642D908">
            <w:pPr>
              <w:jc w:val="center"/>
            </w:pPr>
            <w:r>
              <w:rPr>
                <w:rFonts w:hint="eastAsia"/>
              </w:rPr>
              <w:t>300</w:t>
            </w:r>
          </w:p>
        </w:tc>
        <w:tc>
          <w:tcPr>
            <w:tcW w:w="1153" w:type="dxa"/>
            <w:vMerge w:val="continue"/>
            <w:vAlign w:val="center"/>
          </w:tcPr>
          <w:p w14:paraId="75EC2506">
            <w:pPr>
              <w:jc w:val="center"/>
            </w:pPr>
          </w:p>
        </w:tc>
        <w:tc>
          <w:tcPr>
            <w:tcW w:w="6147" w:type="dxa"/>
            <w:gridSpan w:val="7"/>
            <w:vAlign w:val="center"/>
          </w:tcPr>
          <w:p w14:paraId="1BDEDFE5">
            <w:pPr>
              <w:jc w:val="center"/>
            </w:pPr>
            <w:r>
              <w:rPr>
                <w:rFonts w:hint="eastAsia"/>
              </w:rPr>
              <w:t>一个结算年度内，既发生规定的门诊医疗费用又发生规定的住院费用的，其医疗费用合并计算，不超过一个最高限额标准。</w:t>
            </w:r>
          </w:p>
        </w:tc>
      </w:tr>
      <w:tr w14:paraId="6B90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10"/>
            <w:vAlign w:val="center"/>
          </w:tcPr>
          <w:p w14:paraId="53218036">
            <w:pPr>
              <w:ind w:firstLine="420" w:firstLineChars="200"/>
            </w:pPr>
            <w:r>
              <w:rPr>
                <w:rFonts w:hint="eastAsia"/>
              </w:rPr>
              <w:t>参保人员入住签约家庭医生隶属的一级定点医疗机构，或在医联体内先在上级医院住院再转至下级基层医院住院的,起付标准以上，</w:t>
            </w:r>
            <w:r>
              <w:rPr>
                <w:rFonts w:hint="eastAsia" w:ascii="宋体" w:hAnsi="宋体" w:eastAsia="宋体" w:cs="宋体"/>
                <w:szCs w:val="21"/>
              </w:rPr>
              <w:t>住院基本</w:t>
            </w:r>
            <w:r>
              <w:rPr>
                <w:rFonts w:hint="eastAsia" w:ascii="宋体" w:hAnsi="宋体" w:eastAsia="宋体" w:cs="宋体"/>
                <w:color w:val="000000"/>
                <w:szCs w:val="21"/>
              </w:rPr>
              <w:t>统筹基金支付比例提高5个百分点</w:t>
            </w:r>
            <w:r>
              <w:rPr>
                <w:rFonts w:hint="eastAsia"/>
              </w:rPr>
              <w:t>,0元至10万元(含)部分由住院基本统筹基金按98%支付，10万元至20万元(含)部分由住院基本统筹基金按98%支付，20万元至30万元（含）部分由住院基本统筹基金按85%支付。其中，医联体内下转的，取消本次基层住院的起付线，且住院次数按规定累计。医联体内上转的,视为同一住院治疗过程,累计计算住院起付线,当次住院起付标准减半支付，住院次数按规定累计。起付线以上、符合医疗保险规定的住院医疗费用,按医保结算年度累计,住院费用累计计算。</w:t>
            </w:r>
          </w:p>
        </w:tc>
      </w:tr>
      <w:tr w14:paraId="185D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10"/>
            <w:vAlign w:val="center"/>
          </w:tcPr>
          <w:p w14:paraId="60294C03">
            <w:r>
              <w:t>注:1.一年内多次住院的，从第二次起，按本次入院就诊医疗机构起</w:t>
            </w:r>
            <w:r>
              <w:rPr>
                <w:rFonts w:hint="eastAsia"/>
              </w:rPr>
              <w:t>付</w:t>
            </w:r>
            <w:r>
              <w:t>标准的20%，依次递减分别计算，最低不低于200元,长期连续住院的，起付标准每90</w:t>
            </w:r>
            <w:r>
              <w:rPr>
                <w:rFonts w:hint="eastAsia"/>
              </w:rPr>
              <w:t>天</w:t>
            </w:r>
            <w:r>
              <w:t>计算一次。跨年度住院的，起</w:t>
            </w:r>
            <w:r>
              <w:rPr>
                <w:rFonts w:hint="eastAsia"/>
              </w:rPr>
              <w:t>付</w:t>
            </w:r>
            <w:r>
              <w:t>标准按出院年度的起付线标准计算,费用计</w:t>
            </w:r>
            <w:r>
              <w:rPr>
                <w:rFonts w:hint="eastAsia"/>
              </w:rPr>
              <w:t>入</w:t>
            </w:r>
            <w:r>
              <w:t>出院</w:t>
            </w:r>
            <w:r>
              <w:rPr>
                <w:rFonts w:hint="eastAsia"/>
              </w:rPr>
              <w:t>日</w:t>
            </w:r>
            <w:r>
              <w:t>所在年度</w:t>
            </w:r>
            <w:r>
              <w:rPr>
                <w:rFonts w:hint="eastAsia"/>
              </w:rPr>
              <w:t>。</w:t>
            </w:r>
          </w:p>
          <w:p w14:paraId="28351809">
            <w:pPr>
              <w:pStyle w:val="5"/>
              <w:widowControl/>
              <w:spacing w:line="320" w:lineRule="exact"/>
              <w:ind w:firstLine="420"/>
              <w:rPr>
                <w:rFonts w:ascii="宋体" w:hAnsi="宋体" w:eastAsia="宋体" w:cs="宋体"/>
                <w:sz w:val="21"/>
                <w:szCs w:val="21"/>
              </w:rPr>
            </w:pPr>
            <w:r>
              <w:rPr>
                <w:rFonts w:hint="eastAsia" w:ascii="宋体" w:hAnsi="宋体" w:eastAsia="宋体" w:cs="宋体"/>
                <w:sz w:val="21"/>
                <w:szCs w:val="21"/>
              </w:rPr>
              <w:t>2.参保人员因精神病长期住院治疗的,一个结算年度支付一个住院起付标准，住院基本</w:t>
            </w:r>
            <w:r>
              <w:rPr>
                <w:rFonts w:hint="eastAsia" w:ascii="宋体" w:hAnsi="宋体" w:eastAsia="宋体" w:cs="宋体"/>
                <w:color w:val="000000"/>
                <w:sz w:val="21"/>
                <w:szCs w:val="21"/>
              </w:rPr>
              <w:t>统筹基金支付比例提高5个百分点，</w:t>
            </w:r>
            <w:r>
              <w:rPr>
                <w:rFonts w:hint="eastAsia"/>
              </w:rPr>
              <w:t>0元至10万元(含)部分和10万元至20万元(含)部分由住院基本统筹基金按</w:t>
            </w:r>
            <w:r>
              <w:rPr>
                <w:rFonts w:hint="eastAsia" w:ascii="宋体" w:hAnsi="宋体" w:eastAsia="宋体" w:cs="宋体"/>
                <w:color w:val="000000"/>
                <w:sz w:val="21"/>
                <w:szCs w:val="21"/>
              </w:rPr>
              <w:t>三级、二级、一级医疗机构分别支付95%、96%、98%，</w:t>
            </w:r>
            <w:r>
              <w:rPr>
                <w:rFonts w:hint="eastAsia"/>
              </w:rPr>
              <w:t>20万元至30万元(含)部分由住院基本统筹基金按</w:t>
            </w:r>
            <w:r>
              <w:rPr>
                <w:rFonts w:hint="eastAsia" w:ascii="宋体" w:hAnsi="宋体" w:eastAsia="宋体" w:cs="宋体"/>
                <w:color w:val="000000"/>
                <w:sz w:val="21"/>
                <w:szCs w:val="21"/>
              </w:rPr>
              <w:t>85%支付。</w:t>
            </w:r>
          </w:p>
          <w:p w14:paraId="508090DC">
            <w:pPr>
              <w:ind w:firstLine="420" w:firstLineChars="200"/>
            </w:pPr>
            <w:r>
              <w:t>3.按《江苏省基本医疗保险、工伤保险和生育保险药品目录》及《南通市基本医疗保险诊疗项目、医疗服务设施范围及</w:t>
            </w:r>
            <w:r>
              <w:rPr>
                <w:rFonts w:hint="eastAsia"/>
                <w:lang w:eastAsia="zh-CN"/>
              </w:rPr>
              <w:t>支付</w:t>
            </w:r>
            <w:bookmarkStart w:id="0" w:name="_GoBack"/>
            <w:bookmarkEnd w:id="0"/>
            <w:r>
              <w:t>标准》有关规定,在支付乙类药品、诊疗服务项目的个人先负担费用后,再按医疗保险有关政策规定享受相应待遇。</w:t>
            </w:r>
          </w:p>
          <w:p w14:paraId="6D9A7FE8"/>
        </w:tc>
      </w:tr>
    </w:tbl>
    <w:p w14:paraId="79B3CF45"/>
    <w:p w14:paraId="4474892A"/>
    <w:p w14:paraId="3ACE05FF">
      <w:pPr>
        <w:rPr>
          <w:rFonts w:ascii="宋体" w:hAnsi="宋体" w:eastAsia="宋体" w:cs="宋体"/>
          <w:b/>
          <w:bCs/>
          <w:sz w:val="28"/>
          <w:szCs w:val="28"/>
        </w:rPr>
      </w:pPr>
      <w:r>
        <w:rPr>
          <w:rFonts w:hint="eastAsia" w:ascii="宋体" w:hAnsi="宋体" w:eastAsia="宋体" w:cs="宋体"/>
          <w:b/>
          <w:bCs/>
          <w:sz w:val="28"/>
          <w:szCs w:val="28"/>
        </w:rPr>
        <w:t>3、职工大病保险待遇</w:t>
      </w:r>
    </w:p>
    <w:p w14:paraId="30868C24">
      <w:pPr>
        <w:spacing w:line="560" w:lineRule="exact"/>
        <w:ind w:firstLine="420" w:firstLineChars="200"/>
        <w:rPr>
          <w:rFonts w:ascii="宋体" w:hAnsi="宋体" w:eastAsia="宋体" w:cs="宋体"/>
          <w:bCs/>
          <w:szCs w:val="21"/>
        </w:rPr>
      </w:pPr>
      <w:r>
        <w:rPr>
          <w:rFonts w:hint="eastAsia" w:ascii="宋体" w:hAnsi="宋体" w:eastAsia="宋体" w:cs="宋体"/>
          <w:bCs/>
          <w:szCs w:val="21"/>
        </w:rPr>
        <w:t>参保人员享受基本医保门诊、住院等医疗保险待遇后，一个结算年度内个人按规定负担的政策范围内医疗费用，超过起付标准1万元以上的部分，职工大病保险按以下标准分段按比例累加补偿。</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DBD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D93080D">
            <w:pPr>
              <w:spacing w:line="560" w:lineRule="exact"/>
              <w:jc w:val="center"/>
              <w:rPr>
                <w:rFonts w:ascii="宋体" w:hAnsi="宋体" w:eastAsia="宋体" w:cs="宋体"/>
                <w:bCs/>
                <w:szCs w:val="21"/>
              </w:rPr>
            </w:pPr>
            <w:r>
              <w:rPr>
                <w:rFonts w:hint="eastAsia" w:ascii="宋体" w:hAnsi="宋体" w:eastAsia="宋体" w:cs="宋体"/>
                <w:bCs/>
                <w:szCs w:val="21"/>
              </w:rPr>
              <w:t>费用段（元）</w:t>
            </w:r>
          </w:p>
        </w:tc>
        <w:tc>
          <w:tcPr>
            <w:tcW w:w="4261" w:type="dxa"/>
            <w:vAlign w:val="center"/>
          </w:tcPr>
          <w:p w14:paraId="3B15E07A">
            <w:pPr>
              <w:spacing w:line="560" w:lineRule="exact"/>
              <w:jc w:val="center"/>
              <w:rPr>
                <w:rFonts w:ascii="宋体" w:hAnsi="宋体" w:eastAsia="宋体" w:cs="宋体"/>
                <w:bCs/>
                <w:szCs w:val="21"/>
              </w:rPr>
            </w:pPr>
            <w:r>
              <w:rPr>
                <w:rFonts w:hint="eastAsia" w:ascii="宋体" w:hAnsi="宋体" w:eastAsia="宋体" w:cs="宋体"/>
                <w:bCs/>
                <w:szCs w:val="21"/>
              </w:rPr>
              <w:t>报支比例（起付标准以上）</w:t>
            </w:r>
          </w:p>
        </w:tc>
      </w:tr>
      <w:tr w14:paraId="180F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4E4F34E">
            <w:pPr>
              <w:spacing w:line="560" w:lineRule="exact"/>
              <w:jc w:val="center"/>
              <w:rPr>
                <w:rFonts w:ascii="宋体" w:hAnsi="宋体" w:eastAsia="宋体" w:cs="宋体"/>
                <w:bCs/>
                <w:szCs w:val="21"/>
              </w:rPr>
            </w:pPr>
            <w:r>
              <w:rPr>
                <w:rFonts w:hint="eastAsia" w:ascii="宋体" w:hAnsi="宋体" w:eastAsia="宋体" w:cs="宋体"/>
                <w:bCs/>
                <w:szCs w:val="21"/>
              </w:rPr>
              <w:t>0-10万（含）</w:t>
            </w:r>
          </w:p>
        </w:tc>
        <w:tc>
          <w:tcPr>
            <w:tcW w:w="4261" w:type="dxa"/>
            <w:vAlign w:val="center"/>
          </w:tcPr>
          <w:p w14:paraId="057EB31E">
            <w:pPr>
              <w:spacing w:line="560" w:lineRule="exact"/>
              <w:jc w:val="center"/>
              <w:rPr>
                <w:rFonts w:ascii="宋体" w:hAnsi="宋体" w:eastAsia="宋体" w:cs="宋体"/>
                <w:bCs/>
                <w:szCs w:val="21"/>
              </w:rPr>
            </w:pPr>
            <w:r>
              <w:rPr>
                <w:rFonts w:hint="eastAsia" w:ascii="宋体" w:hAnsi="宋体" w:eastAsia="宋体" w:cs="宋体"/>
                <w:bCs/>
                <w:szCs w:val="21"/>
              </w:rPr>
              <w:t>60%</w:t>
            </w:r>
          </w:p>
        </w:tc>
      </w:tr>
      <w:tr w14:paraId="595E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B0E2D78">
            <w:pPr>
              <w:spacing w:line="560" w:lineRule="exact"/>
              <w:jc w:val="center"/>
              <w:rPr>
                <w:rFonts w:ascii="宋体" w:hAnsi="宋体" w:eastAsia="宋体" w:cs="宋体"/>
                <w:bCs/>
                <w:szCs w:val="21"/>
              </w:rPr>
            </w:pPr>
            <w:r>
              <w:rPr>
                <w:rFonts w:hint="eastAsia" w:ascii="宋体" w:hAnsi="宋体" w:eastAsia="宋体" w:cs="宋体"/>
                <w:bCs/>
                <w:szCs w:val="21"/>
              </w:rPr>
              <w:t>10万-20万（含）</w:t>
            </w:r>
          </w:p>
        </w:tc>
        <w:tc>
          <w:tcPr>
            <w:tcW w:w="4261" w:type="dxa"/>
            <w:vAlign w:val="center"/>
          </w:tcPr>
          <w:p w14:paraId="24232ECF">
            <w:pPr>
              <w:spacing w:line="560" w:lineRule="exact"/>
              <w:jc w:val="center"/>
              <w:rPr>
                <w:rFonts w:ascii="宋体" w:hAnsi="宋体" w:eastAsia="宋体" w:cs="宋体"/>
                <w:bCs/>
                <w:szCs w:val="21"/>
              </w:rPr>
            </w:pPr>
            <w:r>
              <w:rPr>
                <w:rFonts w:hint="eastAsia" w:ascii="宋体" w:hAnsi="宋体" w:eastAsia="宋体" w:cs="宋体"/>
                <w:bCs/>
                <w:szCs w:val="21"/>
              </w:rPr>
              <w:t>80%</w:t>
            </w:r>
          </w:p>
        </w:tc>
      </w:tr>
      <w:tr w14:paraId="25AD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166FBB0">
            <w:pPr>
              <w:spacing w:line="560" w:lineRule="exact"/>
              <w:jc w:val="center"/>
              <w:rPr>
                <w:rFonts w:ascii="宋体" w:hAnsi="宋体" w:eastAsia="宋体" w:cs="宋体"/>
                <w:bCs/>
                <w:szCs w:val="21"/>
              </w:rPr>
            </w:pPr>
            <w:r>
              <w:rPr>
                <w:rFonts w:hint="eastAsia" w:ascii="宋体" w:hAnsi="宋体" w:eastAsia="宋体" w:cs="宋体"/>
                <w:bCs/>
                <w:szCs w:val="21"/>
              </w:rPr>
              <w:t>20万以上</w:t>
            </w:r>
          </w:p>
        </w:tc>
        <w:tc>
          <w:tcPr>
            <w:tcW w:w="4261" w:type="dxa"/>
            <w:vAlign w:val="center"/>
          </w:tcPr>
          <w:p w14:paraId="46881501">
            <w:pPr>
              <w:spacing w:line="560" w:lineRule="exact"/>
              <w:jc w:val="center"/>
              <w:rPr>
                <w:rFonts w:ascii="宋体" w:hAnsi="宋体" w:eastAsia="宋体" w:cs="宋体"/>
                <w:bCs/>
                <w:szCs w:val="21"/>
              </w:rPr>
            </w:pPr>
            <w:r>
              <w:rPr>
                <w:rFonts w:hint="eastAsia" w:ascii="宋体" w:hAnsi="宋体" w:eastAsia="宋体" w:cs="宋体"/>
                <w:bCs/>
                <w:szCs w:val="21"/>
              </w:rPr>
              <w:t>90%</w:t>
            </w:r>
          </w:p>
        </w:tc>
      </w:tr>
    </w:tbl>
    <w:p w14:paraId="04A11F97">
      <w:pPr>
        <w:spacing w:line="560" w:lineRule="exact"/>
        <w:ind w:firstLine="420" w:firstLineChars="200"/>
        <w:rPr>
          <w:rFonts w:ascii="宋体" w:hAnsi="宋体" w:eastAsia="宋体" w:cs="宋体"/>
          <w:bCs/>
          <w:szCs w:val="21"/>
        </w:rPr>
      </w:pPr>
    </w:p>
    <w:p w14:paraId="2F310111">
      <w:pPr>
        <w:rPr>
          <w:rFonts w:ascii="宋体" w:hAnsi="宋体" w:eastAsia="宋体" w:cs="宋体"/>
          <w:b/>
          <w:bCs/>
          <w:sz w:val="28"/>
          <w:szCs w:val="28"/>
        </w:rPr>
      </w:pPr>
      <w:r>
        <w:rPr>
          <w:rFonts w:hint="eastAsia" w:ascii="宋体" w:hAnsi="宋体" w:eastAsia="宋体" w:cs="宋体"/>
          <w:b/>
          <w:bCs/>
          <w:sz w:val="28"/>
          <w:szCs w:val="28"/>
        </w:rPr>
        <w:t>4、自费补充报销待遇（2023年12月1日起）</w:t>
      </w:r>
    </w:p>
    <w:p w14:paraId="6A3462E1">
      <w:pPr>
        <w:ind w:firstLine="420" w:firstLineChars="200"/>
      </w:pPr>
      <w:r>
        <w:rPr>
          <w:rFonts w:hint="eastAsia"/>
        </w:rPr>
        <w:t>一个结算</w:t>
      </w:r>
      <w:r>
        <w:t>年度内,参</w:t>
      </w:r>
      <w:r>
        <w:rPr>
          <w:rFonts w:hint="eastAsia"/>
        </w:rPr>
        <w:t>保</w:t>
      </w:r>
      <w:r>
        <w:t>职工在定点</w:t>
      </w:r>
      <w:r>
        <w:rPr>
          <w:rFonts w:hint="eastAsia"/>
        </w:rPr>
        <w:t>医疗机构住院期间使用医疗保险范围外</w:t>
      </w:r>
      <w:r>
        <w:t>、自费</w:t>
      </w:r>
      <w:r>
        <w:rPr>
          <w:rFonts w:hint="eastAsia"/>
        </w:rPr>
        <w:t>补充</w:t>
      </w:r>
      <w:r>
        <w:t>保险支</w:t>
      </w:r>
      <w:r>
        <w:rPr>
          <w:rFonts w:hint="eastAsia"/>
        </w:rPr>
        <w:t>付范围内的药品</w:t>
      </w:r>
      <w:r>
        <w:t>、诊疗项目,每次</w:t>
      </w:r>
      <w:r>
        <w:rPr>
          <w:rFonts w:hint="eastAsia"/>
        </w:rPr>
        <w:t>住院超6</w:t>
      </w:r>
      <w:r>
        <w:t>00元以上的部分。一级医疗机构</w:t>
      </w:r>
      <w:r>
        <w:rPr>
          <w:rFonts w:hint="eastAsia"/>
        </w:rPr>
        <w:t>报支60</w:t>
      </w:r>
      <w:r>
        <w:t>%,二级医疗</w:t>
      </w:r>
      <w:r>
        <w:rPr>
          <w:rFonts w:hint="eastAsia"/>
        </w:rPr>
        <w:t>机构报支50%，</w:t>
      </w:r>
      <w:r>
        <w:t>三级医疗机构报</w:t>
      </w:r>
      <w:r>
        <w:rPr>
          <w:rFonts w:hint="eastAsia"/>
        </w:rPr>
        <w:t>支40%</w:t>
      </w:r>
      <w:r>
        <w:t>,最高支付</w:t>
      </w:r>
      <w:r>
        <w:rPr>
          <w:rFonts w:hint="eastAsia"/>
        </w:rPr>
        <w:t>限额</w:t>
      </w:r>
      <w:r>
        <w:t>为10万元</w:t>
      </w:r>
      <w:r>
        <w:rPr>
          <w:rFonts w:hint="eastAsia"/>
        </w:rPr>
        <w:t>。</w:t>
      </w:r>
    </w:p>
    <w:p w14:paraId="02D0C29C"/>
    <w:p w14:paraId="09C5C510">
      <w:pPr>
        <w:numPr>
          <w:ilvl w:val="0"/>
          <w:numId w:val="2"/>
        </w:numPr>
        <w:rPr>
          <w:sz w:val="28"/>
          <w:szCs w:val="28"/>
        </w:rPr>
      </w:pPr>
      <w:r>
        <w:rPr>
          <w:rFonts w:hint="eastAsia"/>
          <w:b/>
          <w:color w:val="000000" w:themeColor="text1"/>
          <w:sz w:val="28"/>
          <w:szCs w:val="28"/>
        </w:rPr>
        <w:t>国谈药“双通道”管理及单独支付药品待遇</w:t>
      </w:r>
    </w:p>
    <w:p w14:paraId="58E59096">
      <w:pPr>
        <w:spacing w:line="360" w:lineRule="auto"/>
        <w:ind w:firstLine="422" w:firstLineChars="200"/>
        <w:rPr>
          <w:b/>
          <w:color w:val="000000" w:themeColor="text1"/>
        </w:rPr>
      </w:pPr>
      <w:r>
        <w:rPr>
          <w:rFonts w:hint="eastAsia"/>
          <w:b/>
          <w:color w:val="000000" w:themeColor="text1"/>
        </w:rPr>
        <w:t>1、门诊待遇</w:t>
      </w:r>
    </w:p>
    <w:p w14:paraId="5F88AF41">
      <w:pPr>
        <w:spacing w:line="360" w:lineRule="auto"/>
        <w:ind w:firstLine="420" w:firstLineChars="200"/>
        <w:rPr>
          <w:color w:val="000000" w:themeColor="text1"/>
        </w:rPr>
      </w:pPr>
      <w:r>
        <w:rPr>
          <w:rFonts w:hint="eastAsia"/>
          <w:color w:val="000000" w:themeColor="text1"/>
        </w:rPr>
        <w:t>一个医疗年度（治疗周期）内，参保人员在规定的国谈药定点医疗机构和定点零售药店使用</w:t>
      </w:r>
      <w:r>
        <w:rPr>
          <w:color w:val="000000" w:themeColor="text1"/>
        </w:rPr>
        <w:t>”</w:t>
      </w:r>
      <w:r>
        <w:rPr>
          <w:rFonts w:hint="eastAsia"/>
          <w:color w:val="000000" w:themeColor="text1"/>
        </w:rPr>
        <w:t>双通道</w:t>
      </w:r>
      <w:r>
        <w:rPr>
          <w:color w:val="000000" w:themeColor="text1"/>
        </w:rPr>
        <w:t>”</w:t>
      </w:r>
      <w:r>
        <w:rPr>
          <w:rFonts w:hint="eastAsia"/>
          <w:color w:val="000000" w:themeColor="text1"/>
        </w:rPr>
        <w:t>单独支付药品的医保待遇一致,发生的符合规定的费用，不设起付线,直接纳入医保统筹基金支付,由职工医保统筹基金报支75%。医保支付门诊单独支付药品数量按规定进行累计。</w:t>
      </w:r>
    </w:p>
    <w:p w14:paraId="781EF477">
      <w:pPr>
        <w:spacing w:line="360" w:lineRule="auto"/>
        <w:ind w:firstLine="422" w:firstLineChars="200"/>
        <w:rPr>
          <w:b/>
          <w:color w:val="000000" w:themeColor="text1"/>
        </w:rPr>
      </w:pPr>
      <w:r>
        <w:rPr>
          <w:rFonts w:hint="eastAsia"/>
          <w:b/>
          <w:color w:val="000000" w:themeColor="text1"/>
        </w:rPr>
        <w:t>2、住院待遇</w:t>
      </w:r>
    </w:p>
    <w:p w14:paraId="08167213">
      <w:pPr>
        <w:spacing w:line="360" w:lineRule="auto"/>
        <w:ind w:firstLine="420" w:firstLineChars="200"/>
        <w:rPr>
          <w:color w:val="000000" w:themeColor="text1"/>
        </w:rPr>
      </w:pPr>
      <w:r>
        <w:rPr>
          <w:rFonts w:hint="eastAsia"/>
          <w:color w:val="000000" w:themeColor="text1"/>
        </w:rPr>
        <w:t>一个医疗年度（治疗周期）内，参保人员在国谈药定点医疗机构住院发生的符合规定的单独支付药品费用，参照乙类药品管理，职工个人先行自付比例为15%，个人先行负担规定的药品自付比例后，执行现行住院支付政策和经办服务管理，医保支付药品数量按规定进行累计。</w:t>
      </w:r>
    </w:p>
    <w:p w14:paraId="0F76E564">
      <w:pPr>
        <w:spacing w:line="360" w:lineRule="auto"/>
        <w:ind w:firstLine="420" w:firstLineChars="200"/>
      </w:pPr>
    </w:p>
    <w:p w14:paraId="3D69FF53">
      <w:pPr>
        <w:spacing w:line="360" w:lineRule="auto"/>
        <w:ind w:firstLine="281" w:firstLineChars="100"/>
        <w:rPr>
          <w:b/>
          <w:bCs/>
          <w:color w:val="000000" w:themeColor="text1"/>
          <w:sz w:val="28"/>
          <w:szCs w:val="28"/>
        </w:rPr>
      </w:pPr>
      <w:r>
        <w:rPr>
          <w:rFonts w:hint="eastAsia"/>
          <w:b/>
          <w:bCs/>
          <w:color w:val="000000" w:themeColor="text1"/>
          <w:sz w:val="28"/>
          <w:szCs w:val="28"/>
        </w:rPr>
        <w:t>6.个人医疗账户资金的支付范围有哪些？</w:t>
      </w:r>
    </w:p>
    <w:p w14:paraId="31DA2023">
      <w:pPr>
        <w:widowControl/>
        <w:spacing w:line="480" w:lineRule="exact"/>
        <w:ind w:firstLine="420" w:firstLineChars="200"/>
        <w:rPr>
          <w:rFonts w:ascii="宋体" w:hAnsi="宋体" w:eastAsia="宋体" w:cs="宋体"/>
          <w:szCs w:val="21"/>
        </w:rPr>
      </w:pPr>
      <w:r>
        <w:rPr>
          <w:rFonts w:hint="eastAsia" w:ascii="宋体" w:hAnsi="宋体" w:eastAsia="宋体" w:cs="宋体"/>
          <w:color w:val="000000" w:themeColor="text1"/>
          <w:szCs w:val="21"/>
        </w:rPr>
        <w:t>答：</w:t>
      </w:r>
      <w:r>
        <w:rPr>
          <w:rFonts w:hint="eastAsia" w:ascii="宋体" w:hAnsi="宋体" w:eastAsia="宋体" w:cs="宋体"/>
          <w:color w:val="366091"/>
          <w:szCs w:val="21"/>
        </w:rPr>
        <w:t>（</w:t>
      </w:r>
      <w:r>
        <w:rPr>
          <w:rFonts w:hint="eastAsia" w:ascii="宋体" w:hAnsi="宋体" w:eastAsia="宋体" w:cs="宋体"/>
          <w:szCs w:val="21"/>
        </w:rPr>
        <w:t>1）支付在定点医疗机构就医发生的由个人负担的医疗费用，包括生育保险支付后个人负担的产前检查费用和生育医疗费用。</w:t>
      </w:r>
    </w:p>
    <w:p w14:paraId="02245C15">
      <w:pPr>
        <w:widowControl/>
        <w:spacing w:line="480" w:lineRule="exact"/>
        <w:ind w:firstLine="420" w:firstLineChars="200"/>
        <w:rPr>
          <w:rFonts w:ascii="宋体" w:hAnsi="宋体" w:eastAsia="宋体" w:cs="宋体"/>
          <w:szCs w:val="21"/>
        </w:rPr>
      </w:pPr>
      <w:r>
        <w:rPr>
          <w:rFonts w:hint="eastAsia" w:ascii="宋体" w:hAnsi="宋体" w:eastAsia="宋体" w:cs="宋体"/>
          <w:szCs w:val="21"/>
        </w:rPr>
        <w:t>（2）支付在本省定点零售药店购买药品、</w:t>
      </w:r>
      <w:r>
        <w:rPr>
          <w:rFonts w:hint="eastAsia" w:ascii="宋体" w:hAnsi="宋体" w:eastAsia="宋体" w:cs="宋体"/>
          <w:b/>
          <w:bCs/>
          <w:szCs w:val="21"/>
        </w:rPr>
        <w:t>医疗器械、医用耗材</w:t>
      </w:r>
      <w:r>
        <w:rPr>
          <w:rFonts w:hint="eastAsia" w:ascii="宋体" w:hAnsi="宋体" w:eastAsia="宋体" w:cs="宋体"/>
          <w:szCs w:val="21"/>
        </w:rPr>
        <w:t>发生的由个人负担的费用，并符合国家医保信息业务编码管理相关规定。</w:t>
      </w:r>
    </w:p>
    <w:p w14:paraId="5F96F3C0">
      <w:pPr>
        <w:widowControl/>
        <w:spacing w:line="480" w:lineRule="exact"/>
        <w:ind w:firstLine="629"/>
        <w:rPr>
          <w:rFonts w:ascii="宋体" w:hAnsi="宋体" w:eastAsia="宋体" w:cs="宋体"/>
          <w:szCs w:val="21"/>
        </w:rPr>
      </w:pPr>
      <w:r>
        <w:rPr>
          <w:rFonts w:hint="eastAsia" w:ascii="宋体" w:hAnsi="宋体" w:eastAsia="宋体" w:cs="宋体"/>
          <w:szCs w:val="21"/>
        </w:rPr>
        <w:t>（3）支付在本省定点医疗机构发生的符合国家医保信息业务编码管理的非免疫规划疫苗费用。</w:t>
      </w:r>
    </w:p>
    <w:p w14:paraId="04516A7F">
      <w:pPr>
        <w:widowControl/>
        <w:spacing w:line="480" w:lineRule="exact"/>
        <w:ind w:firstLine="629"/>
        <w:rPr>
          <w:rFonts w:ascii="宋体" w:hAnsi="宋体" w:eastAsia="宋体" w:cs="宋体"/>
          <w:szCs w:val="21"/>
        </w:rPr>
      </w:pPr>
      <w:r>
        <w:rPr>
          <w:rFonts w:hint="eastAsia" w:ascii="宋体" w:hAnsi="宋体" w:eastAsia="宋体" w:cs="宋体"/>
          <w:szCs w:val="21"/>
        </w:rPr>
        <w:t>（4）缴纳参保人员本人参加本省职工大额医疗费用补助（大病保险）、长期护理保险的个人缴费，灵活就业人员职工医保参保缴费、职工医保参保人员享受退休人员医保待遇缴费年限不足时的一次性趸交职工医保费，以及参保人员家庭成员参加本省城乡居民医保、长期护理保险等的个人缴费。</w:t>
      </w:r>
    </w:p>
    <w:p w14:paraId="0103D5A3">
      <w:pPr>
        <w:widowControl/>
        <w:spacing w:line="480" w:lineRule="exact"/>
        <w:ind w:firstLine="629"/>
        <w:rPr>
          <w:rFonts w:ascii="宋体" w:hAnsi="宋体" w:eastAsia="宋体" w:cs="宋体"/>
          <w:color w:val="366091"/>
          <w:szCs w:val="21"/>
        </w:rPr>
      </w:pPr>
      <w:r>
        <w:rPr>
          <w:rFonts w:hint="eastAsia" w:ascii="宋体" w:hAnsi="宋体" w:eastAsia="宋体" w:cs="宋体"/>
          <w:szCs w:val="21"/>
        </w:rPr>
        <w:t>（5）购买本省及设区市政府指导的、与基本医疗保险相衔接的商业医疗保险产品</w:t>
      </w:r>
      <w:r>
        <w:rPr>
          <w:rFonts w:hint="eastAsia" w:ascii="宋体" w:hAnsi="宋体" w:eastAsia="宋体" w:cs="宋体"/>
          <w:color w:val="366091"/>
          <w:szCs w:val="21"/>
        </w:rPr>
        <w:t>。</w:t>
      </w:r>
    </w:p>
    <w:p w14:paraId="1C768FA1">
      <w:pPr>
        <w:widowControl/>
        <w:spacing w:line="300" w:lineRule="exact"/>
        <w:ind w:firstLine="422" w:firstLineChars="200"/>
        <w:rPr>
          <w:rFonts w:ascii="宋体" w:hAnsi="宋体" w:eastAsia="宋体" w:cs="宋体"/>
          <w:b/>
          <w:bCs/>
          <w:color w:val="000000" w:themeColor="text1"/>
          <w:szCs w:val="21"/>
        </w:rPr>
      </w:pPr>
    </w:p>
    <w:p w14:paraId="1853400F">
      <w:pPr>
        <w:widowControl/>
        <w:spacing w:line="300" w:lineRule="exact"/>
        <w:ind w:firstLine="422" w:firstLineChars="200"/>
        <w:rPr>
          <w:rFonts w:ascii="仿宋" w:hAnsi="仿宋" w:eastAsia="仿宋" w:cs="仿宋"/>
          <w:b/>
          <w:bCs/>
          <w:color w:val="000000" w:themeColor="text1"/>
          <w:sz w:val="28"/>
          <w:szCs w:val="28"/>
        </w:rPr>
      </w:pPr>
      <w:r>
        <w:rPr>
          <w:rFonts w:hint="eastAsia" w:ascii="宋体" w:hAnsi="宋体" w:eastAsia="宋体" w:cs="宋体"/>
          <w:b/>
          <w:bCs/>
          <w:color w:val="000000" w:themeColor="text1"/>
          <w:szCs w:val="21"/>
        </w:rPr>
        <w:t>7.在定点零售药店个人账户资金可支付的医疗器械和医用耗材范围包含哪些：</w:t>
      </w:r>
    </w:p>
    <w:p w14:paraId="2A7E90FC">
      <w:pPr>
        <w:widowControl/>
        <w:spacing w:line="30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 口罩、新冠病毒抗原检测试剂</w:t>
      </w:r>
    </w:p>
    <w:p w14:paraId="00479AD3">
      <w:pPr>
        <w:widowControl/>
        <w:spacing w:line="30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 血压计</w:t>
      </w:r>
    </w:p>
    <w:p w14:paraId="01697811">
      <w:pPr>
        <w:widowControl/>
        <w:spacing w:line="30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3. 血糖测试仪、血糖试纸、一次性使用末梢采血针、笔式注射针</w:t>
      </w:r>
    </w:p>
    <w:p w14:paraId="32BEFA02">
      <w:pPr>
        <w:widowControl/>
        <w:spacing w:line="30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4. 体温计</w:t>
      </w:r>
    </w:p>
    <w:p w14:paraId="12E3FC7D">
      <w:pPr>
        <w:widowControl/>
        <w:spacing w:line="30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5. 酒精消毒液、棉球、片，碘消毒液、棉球、片，棉签</w:t>
      </w:r>
    </w:p>
    <w:p w14:paraId="78C61866">
      <w:pPr>
        <w:widowControl/>
        <w:spacing w:line="300" w:lineRule="exact"/>
        <w:ind w:firstLine="562" w:firstLineChars="200"/>
        <w:rPr>
          <w:rFonts w:ascii="宋体" w:hAnsi="宋体" w:eastAsia="宋体" w:cs="宋体"/>
          <w:b/>
          <w:bCs/>
          <w:color w:val="000000" w:themeColor="text1"/>
          <w:sz w:val="28"/>
          <w:szCs w:val="28"/>
        </w:rPr>
      </w:pPr>
    </w:p>
    <w:p w14:paraId="2A6B375E">
      <w:pPr>
        <w:widowControl/>
        <w:spacing w:line="300" w:lineRule="exact"/>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8.职工医疗保险基金不支付的医疗费用有哪些？</w:t>
      </w:r>
    </w:p>
    <w:p w14:paraId="3E715A0A">
      <w:pPr>
        <w:spacing w:line="300" w:lineRule="exact"/>
        <w:ind w:firstLine="420" w:firstLineChars="200"/>
        <w:rPr>
          <w:rFonts w:ascii="宋体" w:hAnsi="宋体" w:eastAsia="宋体" w:cs="宋体"/>
          <w:szCs w:val="21"/>
        </w:rPr>
      </w:pPr>
      <w:r>
        <w:rPr>
          <w:rFonts w:hint="eastAsia" w:ascii="宋体" w:hAnsi="宋体" w:eastAsia="宋体" w:cs="宋体"/>
          <w:color w:val="000000" w:themeColor="text1"/>
          <w:szCs w:val="21"/>
        </w:rPr>
        <w:t>答：</w:t>
      </w:r>
      <w:r>
        <w:rPr>
          <w:rFonts w:hint="eastAsia" w:ascii="宋体" w:hAnsi="宋体" w:eastAsia="宋体" w:cs="宋体"/>
          <w:szCs w:val="21"/>
        </w:rPr>
        <w:t>（1）应当从工伤保险基金中支付的；</w:t>
      </w:r>
    </w:p>
    <w:p w14:paraId="716C973A">
      <w:pPr>
        <w:spacing w:line="300" w:lineRule="exact"/>
        <w:ind w:firstLine="420" w:firstLineChars="200"/>
        <w:rPr>
          <w:rFonts w:ascii="宋体" w:hAnsi="宋体" w:eastAsia="宋体" w:cs="宋体"/>
          <w:szCs w:val="21"/>
        </w:rPr>
      </w:pPr>
      <w:r>
        <w:rPr>
          <w:rFonts w:hint="eastAsia" w:ascii="宋体" w:hAnsi="宋体" w:eastAsia="宋体" w:cs="宋体"/>
          <w:szCs w:val="21"/>
        </w:rPr>
        <w:t>（2）应当由第三人负担的；</w:t>
      </w:r>
    </w:p>
    <w:p w14:paraId="57B3C49C">
      <w:pPr>
        <w:spacing w:line="300" w:lineRule="exact"/>
        <w:ind w:firstLine="420" w:firstLineChars="200"/>
        <w:rPr>
          <w:rFonts w:ascii="宋体" w:hAnsi="宋体" w:eastAsia="宋体" w:cs="宋体"/>
          <w:szCs w:val="21"/>
        </w:rPr>
      </w:pPr>
      <w:r>
        <w:rPr>
          <w:rFonts w:hint="eastAsia" w:ascii="宋体" w:hAnsi="宋体" w:eastAsia="宋体" w:cs="宋体"/>
          <w:szCs w:val="21"/>
        </w:rPr>
        <w:t>（3）应当由公共卫生负担的；</w:t>
      </w:r>
    </w:p>
    <w:p w14:paraId="399C9405">
      <w:pPr>
        <w:spacing w:line="300" w:lineRule="exact"/>
        <w:ind w:firstLine="420" w:firstLineChars="200"/>
        <w:rPr>
          <w:rFonts w:ascii="宋体" w:hAnsi="宋体" w:eastAsia="宋体" w:cs="宋体"/>
          <w:szCs w:val="21"/>
        </w:rPr>
      </w:pPr>
      <w:r>
        <w:rPr>
          <w:rFonts w:hint="eastAsia" w:ascii="宋体" w:hAnsi="宋体" w:eastAsia="宋体" w:cs="宋体"/>
          <w:szCs w:val="21"/>
        </w:rPr>
        <w:t>（4）在境外就医的；</w:t>
      </w:r>
    </w:p>
    <w:p w14:paraId="7BD7348B">
      <w:pPr>
        <w:spacing w:line="300" w:lineRule="exact"/>
        <w:ind w:firstLine="420" w:firstLineChars="200"/>
        <w:rPr>
          <w:rFonts w:ascii="宋体" w:hAnsi="宋体" w:eastAsia="宋体" w:cs="宋体"/>
          <w:szCs w:val="21"/>
        </w:rPr>
      </w:pPr>
      <w:r>
        <w:rPr>
          <w:rFonts w:hint="eastAsia" w:ascii="宋体" w:hAnsi="宋体" w:eastAsia="宋体" w:cs="宋体"/>
          <w:szCs w:val="21"/>
        </w:rPr>
        <w:t>（5）体育健身、养生保健消费、健康体检；</w:t>
      </w:r>
    </w:p>
    <w:p w14:paraId="5FA7CAF9">
      <w:pPr>
        <w:spacing w:line="300" w:lineRule="exact"/>
        <w:ind w:firstLine="420" w:firstLineChars="200"/>
        <w:rPr>
          <w:rFonts w:ascii="宋体" w:hAnsi="宋体" w:eastAsia="宋体" w:cs="宋体"/>
          <w:szCs w:val="21"/>
        </w:rPr>
      </w:pPr>
      <w:r>
        <w:rPr>
          <w:rFonts w:hint="eastAsia" w:ascii="宋体" w:hAnsi="宋体" w:eastAsia="宋体" w:cs="宋体"/>
          <w:szCs w:val="21"/>
        </w:rPr>
        <w:t>（6）国家规定的基本医疗保险基金不予支付的其他费用。</w:t>
      </w:r>
    </w:p>
    <w:p w14:paraId="10995240">
      <w:pPr>
        <w:widowControl/>
        <w:spacing w:line="300" w:lineRule="exact"/>
        <w:ind w:firstLine="1600" w:firstLineChars="500"/>
        <w:rPr>
          <w:rFonts w:ascii="仿宋" w:hAnsi="仿宋" w:eastAsia="仿宋" w:cs="仿宋"/>
          <w:color w:val="000000" w:themeColor="text1"/>
          <w:sz w:val="32"/>
          <w:szCs w:val="32"/>
        </w:rPr>
      </w:pPr>
    </w:p>
    <w:p w14:paraId="4F89EA38">
      <w:pPr>
        <w:widowControl/>
        <w:spacing w:line="300" w:lineRule="exact"/>
        <w:ind w:firstLine="2200" w:firstLineChars="500"/>
        <w:rPr>
          <w:rFonts w:ascii="仿宋" w:hAnsi="仿宋" w:eastAsia="仿宋" w:cs="仿宋"/>
          <w:color w:val="000000" w:themeColor="text1"/>
          <w:sz w:val="44"/>
          <w:szCs w:val="44"/>
        </w:rPr>
      </w:pPr>
      <w:r>
        <w:rPr>
          <w:rFonts w:hint="eastAsia" w:ascii="仿宋" w:hAnsi="仿宋" w:eastAsia="仿宋" w:cs="仿宋"/>
          <w:color w:val="000000" w:themeColor="text1"/>
          <w:sz w:val="44"/>
          <w:szCs w:val="44"/>
        </w:rPr>
        <w:t>流动就业人员医保关系转移</w:t>
      </w:r>
    </w:p>
    <w:p w14:paraId="3AF837CE">
      <w:pPr>
        <w:widowControl/>
        <w:spacing w:line="300" w:lineRule="exact"/>
        <w:ind w:firstLine="480" w:firstLineChars="200"/>
        <w:rPr>
          <w:rFonts w:ascii="仿宋" w:hAnsi="仿宋" w:eastAsia="仿宋" w:cs="仿宋"/>
          <w:color w:val="000000" w:themeColor="text1"/>
          <w:sz w:val="24"/>
        </w:rPr>
      </w:pPr>
    </w:p>
    <w:p w14:paraId="6DD4C9D0">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1、什么是职工医保关系转移？</w:t>
      </w:r>
    </w:p>
    <w:p w14:paraId="38C45AB2">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答：参加职工医保的人员跨统筹地区就业，其职工医保关系随同转移。省内各统筹地区互认并累计计算职工医保缴费年限；在省外参加职工医保的人员到本省统筹地区就业，其职工医保缴费年限的认定和缴费年限计算，按照国家和省有关规定执行。</w:t>
      </w:r>
    </w:p>
    <w:p w14:paraId="15137AC6">
      <w:pPr>
        <w:widowControl/>
        <w:spacing w:line="300" w:lineRule="exact"/>
        <w:ind w:firstLine="480" w:firstLineChars="200"/>
        <w:rPr>
          <w:rFonts w:ascii="仿宋" w:hAnsi="仿宋" w:eastAsia="仿宋" w:cs="仿宋"/>
          <w:color w:val="000000" w:themeColor="text1"/>
          <w:sz w:val="24"/>
        </w:rPr>
      </w:pPr>
    </w:p>
    <w:p w14:paraId="322286B3">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2、参保人员如何办理转出？ 答线上线上</w:t>
      </w:r>
    </w:p>
    <w:p w14:paraId="77B302A6">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答：线下申请：由参保人员向转出地医保经办机构提出申请，由转出地医保经办机构开具“参保凭证”，参保人员将此凭证提交转入地医保经办机构。 </w:t>
      </w:r>
    </w:p>
    <w:p w14:paraId="7537C9CF">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办理流程：参保人申请 --- 转出地医保经办机构开具“参保凭证”--- 转入地医保经办机构发出“联系函”--- 转出地医保经办机构办理转出并寄发“变更信息表”--- 转入地医保经办机构办理转入。</w:t>
      </w:r>
    </w:p>
    <w:p w14:paraId="3EFA721D">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线上申请 ：参保人员可通过“医疗保障个人网厅”、“江苏医保云”或“江苏省政务服务网”办理转出申请。</w:t>
      </w:r>
    </w:p>
    <w:p w14:paraId="3DFAF92C">
      <w:pPr>
        <w:widowControl/>
        <w:spacing w:line="300" w:lineRule="exact"/>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 xml:space="preserve"> </w:t>
      </w:r>
    </w:p>
    <w:p w14:paraId="27FBB524">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3、参保人员如何办理转入？ </w:t>
      </w:r>
    </w:p>
    <w:p w14:paraId="3B122DA1">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答：线下申请：参保人员将转出地医保经办机构开具的“参保凭证”提交给转入地医保经办机构，由转入地医保经办机构对接转出地医保经办机构办理转入手续。 </w:t>
      </w:r>
    </w:p>
    <w:p w14:paraId="64C3C265">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办理流程：参保人员向转入地医保经办机构提交“参保凭证”--- 转入地医保经办机构发出“联系函”--- 转出地医保经办机构办理转出并寄发“变更信息表”--- 转入地医保经办机构办理转入。 </w:t>
      </w:r>
    </w:p>
    <w:p w14:paraId="057103C8">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线上申请 ：参保人可通过“医疗保障个人网厅” 、“江苏医保云”或“江苏省政务服务网”办理转入申请。</w:t>
      </w:r>
    </w:p>
    <w:p w14:paraId="7FCD89F4">
      <w:pPr>
        <w:widowControl/>
        <w:spacing w:line="300" w:lineRule="exact"/>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 xml:space="preserve"> </w:t>
      </w:r>
    </w:p>
    <w:p w14:paraId="58509502">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4、南通市范围内流动就业人员需要办理转移手续吗？ </w:t>
      </w:r>
    </w:p>
    <w:p w14:paraId="2988AB49">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答：我市已实现市级统筹，南通市范围内流动就业人员无需办理转移手续，年限及账户自动合并计算。 </w:t>
      </w:r>
    </w:p>
    <w:p w14:paraId="63CD10F2">
      <w:pPr>
        <w:widowControl/>
        <w:spacing w:line="300" w:lineRule="exact"/>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 xml:space="preserve">4 </w:t>
      </w:r>
    </w:p>
    <w:p w14:paraId="11EB3FDC">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5、重复参保的缴费年限如何处理？ </w:t>
      </w:r>
    </w:p>
    <w:p w14:paraId="0F70FD71">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答：跨统筹地区流动就业人员，同时期有重复缴费的只计算本统筹地区的实际缴费年限。 </w:t>
      </w:r>
    </w:p>
    <w:p w14:paraId="30C9AEF1">
      <w:pPr>
        <w:widowControl/>
        <w:spacing w:line="300" w:lineRule="exact"/>
        <w:ind w:firstLine="480" w:firstLineChars="200"/>
        <w:rPr>
          <w:rFonts w:ascii="仿宋" w:hAnsi="仿宋" w:eastAsia="仿宋" w:cs="仿宋"/>
          <w:color w:val="000000" w:themeColor="text1"/>
          <w:sz w:val="24"/>
        </w:rPr>
      </w:pPr>
      <w:r>
        <w:rPr>
          <w:rFonts w:ascii="仿宋" w:hAnsi="仿宋" w:eastAsia="仿宋" w:cs="仿宋"/>
          <w:color w:val="000000" w:themeColor="text1"/>
          <w:sz w:val="24"/>
        </w:rPr>
        <w:t xml:space="preserve">5 </w:t>
      </w:r>
    </w:p>
    <w:p w14:paraId="7D8C1D3E">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 xml:space="preserve">6、转出人员如用超个人账户如何处理？ </w:t>
      </w:r>
    </w:p>
    <w:p w14:paraId="390A923F">
      <w:pPr>
        <w:widowControl/>
        <w:spacing w:line="30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答：跨统筹地区流动就业转出我市的参保人员，在申请办理医保关系转移时，若个人账户余额为负， 需补足个人账户余额后方可办理医保关系转移手续。</w:t>
      </w:r>
    </w:p>
    <w:p w14:paraId="7F3259B2">
      <w:pPr>
        <w:spacing w:line="360" w:lineRule="auto"/>
        <w:ind w:firstLine="480" w:firstLineChars="200"/>
        <w:rPr>
          <w:color w:val="000000" w:themeColor="text1"/>
          <w:sz w:val="24"/>
        </w:rPr>
      </w:pPr>
    </w:p>
    <w:p w14:paraId="216E7096">
      <w:pPr>
        <w:ind w:left="105"/>
        <w:rPr>
          <w:sz w:val="24"/>
        </w:rPr>
      </w:pPr>
    </w:p>
    <w:p w14:paraId="416653C0">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C1AA"/>
    <w:multiLevelType w:val="singleLevel"/>
    <w:tmpl w:val="8E32C1AA"/>
    <w:lvl w:ilvl="0" w:tentative="0">
      <w:start w:val="5"/>
      <w:numFmt w:val="decimal"/>
      <w:suff w:val="nothing"/>
      <w:lvlText w:val="%1、"/>
      <w:lvlJc w:val="left"/>
      <w:pPr>
        <w:ind w:left="0" w:firstLine="0"/>
      </w:pPr>
      <w:rPr>
        <w:rFonts w:hint="default"/>
        <w:b/>
        <w:bCs/>
      </w:rPr>
    </w:lvl>
  </w:abstractNum>
  <w:abstractNum w:abstractNumId="1">
    <w:nsid w:val="16B6AC8F"/>
    <w:multiLevelType w:val="singleLevel"/>
    <w:tmpl w:val="16B6AC8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YmMzNjYyZDcxNDNlN2FjYTQyMjdjMDczZjExZmQifQ=="/>
  </w:docVars>
  <w:rsids>
    <w:rsidRoot w:val="00077DDD"/>
    <w:rsid w:val="00030BFD"/>
    <w:rsid w:val="00077DDD"/>
    <w:rsid w:val="000C7F16"/>
    <w:rsid w:val="00180522"/>
    <w:rsid w:val="001F09F9"/>
    <w:rsid w:val="00273B50"/>
    <w:rsid w:val="003410E7"/>
    <w:rsid w:val="00481D49"/>
    <w:rsid w:val="004B1CCB"/>
    <w:rsid w:val="0051725C"/>
    <w:rsid w:val="005841CA"/>
    <w:rsid w:val="005B0691"/>
    <w:rsid w:val="00715D7A"/>
    <w:rsid w:val="00720612"/>
    <w:rsid w:val="007C2E22"/>
    <w:rsid w:val="00831B76"/>
    <w:rsid w:val="0096252F"/>
    <w:rsid w:val="009E0F84"/>
    <w:rsid w:val="009E3698"/>
    <w:rsid w:val="009F40E0"/>
    <w:rsid w:val="00A32864"/>
    <w:rsid w:val="00A82CEE"/>
    <w:rsid w:val="00AC4952"/>
    <w:rsid w:val="00AF3DFA"/>
    <w:rsid w:val="00B35F1A"/>
    <w:rsid w:val="00B750C4"/>
    <w:rsid w:val="00BC3958"/>
    <w:rsid w:val="00CA46D5"/>
    <w:rsid w:val="00D7044B"/>
    <w:rsid w:val="00DA54A6"/>
    <w:rsid w:val="00DD278E"/>
    <w:rsid w:val="00E6320E"/>
    <w:rsid w:val="00EF090D"/>
    <w:rsid w:val="00F0065D"/>
    <w:rsid w:val="00FE0581"/>
    <w:rsid w:val="0117773C"/>
    <w:rsid w:val="01A06E9D"/>
    <w:rsid w:val="02AE1145"/>
    <w:rsid w:val="039D7273"/>
    <w:rsid w:val="04461F09"/>
    <w:rsid w:val="06173041"/>
    <w:rsid w:val="06E94E42"/>
    <w:rsid w:val="07CD2A2E"/>
    <w:rsid w:val="0A192887"/>
    <w:rsid w:val="0B840A61"/>
    <w:rsid w:val="0C8768FC"/>
    <w:rsid w:val="0EBB3B59"/>
    <w:rsid w:val="0FE10DAC"/>
    <w:rsid w:val="120314AE"/>
    <w:rsid w:val="12EA1B0F"/>
    <w:rsid w:val="12F11792"/>
    <w:rsid w:val="1594066F"/>
    <w:rsid w:val="16704C38"/>
    <w:rsid w:val="17A809BD"/>
    <w:rsid w:val="185F0524"/>
    <w:rsid w:val="204754D5"/>
    <w:rsid w:val="23026A39"/>
    <w:rsid w:val="23E5006C"/>
    <w:rsid w:val="24F81605"/>
    <w:rsid w:val="266A16A4"/>
    <w:rsid w:val="276E6F72"/>
    <w:rsid w:val="2B6B3868"/>
    <w:rsid w:val="2BE041B6"/>
    <w:rsid w:val="2D0363AE"/>
    <w:rsid w:val="2FAD43AF"/>
    <w:rsid w:val="33420D91"/>
    <w:rsid w:val="37232D0C"/>
    <w:rsid w:val="42C50E7E"/>
    <w:rsid w:val="4504286C"/>
    <w:rsid w:val="490C7F41"/>
    <w:rsid w:val="4A4334F7"/>
    <w:rsid w:val="4A7E6C1C"/>
    <w:rsid w:val="4B571947"/>
    <w:rsid w:val="4B571C67"/>
    <w:rsid w:val="542C4C9A"/>
    <w:rsid w:val="58B71C77"/>
    <w:rsid w:val="5A4E7EFD"/>
    <w:rsid w:val="5D7B75BE"/>
    <w:rsid w:val="5F74160E"/>
    <w:rsid w:val="5F82555D"/>
    <w:rsid w:val="687C2595"/>
    <w:rsid w:val="68870612"/>
    <w:rsid w:val="6BF608B1"/>
    <w:rsid w:val="726447C6"/>
    <w:rsid w:val="72A42E14"/>
    <w:rsid w:val="756F67BD"/>
    <w:rsid w:val="77664B3C"/>
    <w:rsid w:val="7B4C229B"/>
    <w:rsid w:val="7CA9419A"/>
    <w:rsid w:val="7EAA7A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1077</Words>
  <Characters>1101</Characters>
  <Lines>48</Lines>
  <Paragraphs>13</Paragraphs>
  <TotalTime>42</TotalTime>
  <ScaleCrop>false</ScaleCrop>
  <LinksUpToDate>false</LinksUpToDate>
  <CharactersWithSpaces>1103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2022-12-29T04:02:00Z</dcterms:created>
  <dc:creator>DELL2</dc:creator>
  <cp:lastModifiedBy>范宇婷</cp:lastModifiedBy>
  <cp:lastPrinted>2023-12-15T08:47:00Z</cp:lastPrinted>
  <dcterms:modified xsi:type="dcterms:W3CDTF">2025-10-29T09:23:11Z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919448BB5D7C46CE9BDB910C057E6474_13</vt:lpwstr>
  </property>
  <property fmtid="{D5CDD505-2E9C-101B-9397-08002B2CF9AE}" pid="4" name="KSOTemplateDocerSaveRecord">
    <vt:lpwstr>eyJoZGlkIjoiNzEyMmQ5NTJlNTdkN2I5ZjdiY2Q2NTMyYzJkZGE0MjgiLCJ1c2VySWQiOiIxNjk1OTkyMTExIn0=</vt:lpwstr>
  </property>
</Properties>
</file>