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附件：           南通市区零售药店申报医保定点协议管理情况公示表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益民大药房有限公司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南通市崇川区秦灶街办费桥村10组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南通峰汇益丰大药房有限公司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江苏省南通市崇川区青年中路208号金地峰汇中心55幢102、103室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南通鑫诚大药房有限公司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江苏省南通市崇川区幸福街道新华路66号幸福新城28幢101-2室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031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南通润泽大药房有限公司疏航桥店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南通市崇川区唐闸镇街道疏航桥苑3幢105室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2023033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南通普泽大药房连锁有限公司永和花苑店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南通市崇川区永和花苑25幢102室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2023034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南通普泽大药房连锁有限公司南通幸福新居店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南通市崇川区福利路66号幸福新居41幢107室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2023-10-31T07:10:11Z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