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2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附件：           南通市区零售药店申报医保定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点协议管理情况公示表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受理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药店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  <w:jc w:val="righ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15"/>
                <w:szCs w:val="15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20230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07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南通宝生堂大药房有限公司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南通市崇川区德民花苑29幢附房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20230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南通济生堂大药房连锁有限公司永和佳苑店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南通市崇川区永和佳苑26幢0116室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2023036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南通普泽大药房连锁有限公司永扬路店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南通市崇川区永和佳苑38幢101、102室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2023037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南通济生堂大药房连锁有限公司融景雅苑店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  <w:lang w:val="en-US" w:eastAsia="zh-CN"/>
              </w:rPr>
              <w:t>融景雅苑24幢106室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hint="eastAsia" w:asciiTheme="minorEastAsia" w:hAnsiTheme="minorEastAsia" w:eastAsiaTheme="minorEastAsia" w:cstheme="minorEastAsia"/>
          <w:color w:val="000000"/>
          <w:sz w:val="15"/>
          <w:szCs w:val="15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2023-12-04T07:26:16Z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