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100" w:beforeAutospacing="1" w:line="560" w:lineRule="exact"/>
      </w:pPr>
      <w:bookmarkStart w:id="0" w:name="_GoBack"/>
      <w:r>
        <w:rPr>
          <w:rFonts w:hint="eastAsia"/>
        </w:rPr>
        <w:t>关于实施基本医疗保险和生育保险</w:t>
      </w:r>
    </w:p>
    <w:p>
      <w:pPr>
        <w:pStyle w:val="7"/>
        <w:spacing w:line="560" w:lineRule="exact"/>
      </w:pPr>
      <w:r>
        <w:rPr>
          <w:rFonts w:hint="eastAsia"/>
        </w:rPr>
        <w:t>市级统筹的意见</w:t>
      </w:r>
    </w:p>
    <w:p>
      <w:pPr>
        <w:spacing w:after="100" w:afterAutospacing="1" w:line="560" w:lineRule="exact"/>
        <w:ind w:firstLine="0"/>
        <w:jc w:val="center"/>
        <w:rPr>
          <w:rFonts w:ascii="方正楷体_GBK" w:eastAsia="方正楷体_GBK"/>
          <w:color w:val="000000"/>
        </w:rPr>
      </w:pPr>
      <w:r>
        <w:rPr>
          <w:rFonts w:hint="eastAsia" w:ascii="方正楷体_GBK" w:eastAsia="方正楷体_GBK"/>
          <w:color w:val="000000"/>
        </w:rPr>
        <w:t>（征求意见稿）</w:t>
      </w:r>
    </w:p>
    <w:bookmarkEnd w:id="0"/>
    <w:p>
      <w:pPr>
        <w:spacing w:line="560" w:lineRule="exact"/>
        <w:ind w:firstLine="630"/>
      </w:pPr>
      <w:r>
        <w:rPr>
          <w:rFonts w:hint="eastAsia"/>
        </w:rPr>
        <w:t>加快提升基本医疗保险（包括职工基本医疗保险和城乡居民基本医疗保险，简称职工医保和居民医保，下同）和生育保险统筹层次，完善基金统筹制度，是深化医疗保障制度改革的重要任务，也是更好发挥基金统筹共济功能、实现基本医疗保险和生育保险制度可持续发展的迫切需要。根据《中华人民共和国社会保险法》以及国务院和省委、省政府深化医疗保障制度改革工作要求，结合我省实际，现就实施基本医疗保险和生育保险市级统筹，提出如下意见。</w:t>
      </w:r>
    </w:p>
    <w:p>
      <w:pPr>
        <w:spacing w:line="560" w:lineRule="exact"/>
        <w:ind w:firstLine="640"/>
        <w:rPr>
          <w:rFonts w:ascii="方正黑体_GBK" w:eastAsia="方正黑体_GBK"/>
        </w:rPr>
      </w:pPr>
      <w:r>
        <w:rPr>
          <w:rFonts w:hint="eastAsia" w:ascii="方正黑体_GBK" w:eastAsia="方正黑体_GBK"/>
        </w:rPr>
        <w:t>一、主要目标</w:t>
      </w:r>
    </w:p>
    <w:p>
      <w:pPr>
        <w:spacing w:line="560" w:lineRule="exact"/>
        <w:ind w:firstLine="640"/>
      </w:pPr>
      <w:r>
        <w:rPr>
          <w:rFonts w:hint="eastAsia"/>
        </w:rPr>
        <w:t>以习近平新时代中国特色社会主义思想为指导，坚持以人民为中心的发展思想，围绕贯彻落实新发展理念和省委省政府高质量发展走在全国前列的要求，以增强制度公平性和基金抗风险能力为重点，从2020年1月1日起实施基本政策、待遇标准、基金管理、经办管理、定点管理、信息系统“六统一”的基本医疗保险和生育保险市级统筹制度。其中，居民医保市级统筹确有困难的地区，要采取有效措施，积极稳妥推进，确保在2021年12月31日前全面实现“六统一”。</w:t>
      </w:r>
    </w:p>
    <w:p>
      <w:pPr>
        <w:spacing w:line="560" w:lineRule="exact"/>
        <w:ind w:firstLine="640"/>
        <w:rPr>
          <w:rFonts w:ascii="方正黑体_GBK" w:eastAsia="方正黑体_GBK"/>
        </w:rPr>
      </w:pPr>
      <w:r>
        <w:rPr>
          <w:rFonts w:hint="eastAsia" w:ascii="方正黑体_GBK" w:eastAsia="方正黑体_GBK"/>
        </w:rPr>
        <w:t>二、基本原则</w:t>
      </w:r>
    </w:p>
    <w:p>
      <w:pPr>
        <w:spacing w:line="560" w:lineRule="exact"/>
        <w:ind w:firstLine="640"/>
      </w:pPr>
      <w:r>
        <w:rPr>
          <w:rFonts w:hint="eastAsia" w:ascii="方正楷体_GBK" w:eastAsia="方正楷体_GBK"/>
        </w:rPr>
        <w:t>一是明晰职责权限。</w:t>
      </w:r>
      <w:r>
        <w:rPr>
          <w:rFonts w:hint="eastAsia"/>
        </w:rPr>
        <w:t>按照法律法规等规定，形成统一的政策制度和管理办法，推进医疗保障管理和服务规范化、标准化、法治化。</w:t>
      </w:r>
      <w:r>
        <w:rPr>
          <w:rFonts w:hint="eastAsia" w:ascii="方正楷体_GBK" w:eastAsia="方正楷体_GBK"/>
        </w:rPr>
        <w:t>二是强化预算管理。</w:t>
      </w:r>
      <w:r>
        <w:rPr>
          <w:rFonts w:hint="eastAsia" w:ascii="方正仿宋_GBK"/>
        </w:rPr>
        <w:t>基本医疗保险基金和生育保险</w:t>
      </w:r>
      <w:r>
        <w:rPr>
          <w:rFonts w:hint="eastAsia"/>
        </w:rPr>
        <w:t>基金由市级统一预算，统一组织实施，市、县（市、区）两级政府分别按规定落实居民医保财政补助、基金监管等责任，确保基金平稳运行。</w:t>
      </w:r>
      <w:r>
        <w:rPr>
          <w:rFonts w:hint="eastAsia" w:ascii="方正楷体_GBK" w:eastAsia="方正楷体_GBK"/>
        </w:rPr>
        <w:t>三是注重待遇平稳衔接。</w:t>
      </w:r>
      <w:r>
        <w:rPr>
          <w:rFonts w:hint="eastAsia" w:ascii="方正仿宋_GBK"/>
        </w:rPr>
        <w:t>统筹考虑设区市内原各统筹地区政策差异，稳慎调整并统一待遇标准</w:t>
      </w:r>
      <w:r>
        <w:rPr>
          <w:rFonts w:hint="eastAsia"/>
        </w:rPr>
        <w:t>，确保参保人员待遇水平总体不降低，确保医保基金安全和制度运行平稳。</w:t>
      </w:r>
    </w:p>
    <w:p>
      <w:pPr>
        <w:spacing w:line="560" w:lineRule="exact"/>
        <w:ind w:firstLine="640"/>
        <w:rPr>
          <w:rFonts w:ascii="方正黑体_GBK" w:eastAsia="方正黑体_GBK"/>
        </w:rPr>
      </w:pPr>
      <w:r>
        <w:rPr>
          <w:rFonts w:hint="eastAsia" w:ascii="方正黑体_GBK" w:eastAsia="方正黑体_GBK"/>
        </w:rPr>
        <w:t>三、重点任务</w:t>
      </w:r>
    </w:p>
    <w:p>
      <w:pPr>
        <w:spacing w:line="560" w:lineRule="exact"/>
        <w:ind w:firstLine="630"/>
      </w:pPr>
      <w:r>
        <w:rPr>
          <w:rFonts w:hint="eastAsia" w:ascii="方正楷体_GBK" w:eastAsia="方正楷体_GBK"/>
        </w:rPr>
        <w:t>（一）统一基本政策</w:t>
      </w:r>
      <w:r>
        <w:rPr>
          <w:rFonts w:hint="eastAsia" w:ascii="方正魏碑_GBK" w:eastAsia="方正魏碑_GBK"/>
        </w:rPr>
        <w:t>。</w:t>
      </w:r>
      <w:r>
        <w:rPr>
          <w:rFonts w:hint="eastAsia" w:ascii="方正仿宋_GBK"/>
        </w:rPr>
        <w:t>设区市范围内</w:t>
      </w:r>
      <w:r>
        <w:rPr>
          <w:rFonts w:hint="eastAsia"/>
        </w:rPr>
        <w:t>执行统一的基本医疗保险和生育保险参保范围；执行统一的职工医保和生育保险缴费基数、缴费比例以及居民医保财政补助标准、个人缴费标准；执行统一的职工医保个人账户划入办法和标准；执行统一的享受退休人员职工医保待遇政策。设区市范围内人员流动时其职工医保和生育保险参保缴费信息连续记载。执行统一的参保人员市内就诊程序、分类转诊办法和转市外就医登记手续。</w:t>
      </w:r>
    </w:p>
    <w:p>
      <w:pPr>
        <w:spacing w:line="560" w:lineRule="exact"/>
        <w:ind w:firstLine="630"/>
      </w:pPr>
      <w:r>
        <w:rPr>
          <w:rFonts w:hint="eastAsia" w:ascii="方正楷体_GBK" w:eastAsia="方正楷体_GBK"/>
        </w:rPr>
        <w:t>（二）统一待遇标准</w:t>
      </w:r>
      <w:r>
        <w:rPr>
          <w:rFonts w:hint="eastAsia" w:ascii="方正魏碑_GBK" w:eastAsia="方正魏碑_GBK"/>
        </w:rPr>
        <w:t>。</w:t>
      </w:r>
      <w:r>
        <w:rPr>
          <w:rFonts w:hint="eastAsia"/>
        </w:rPr>
        <w:t>贯彻执行医疗保障待遇清单制度，确保待遇标准统一。执行全省统一的基本医疗保险药品目录、诊疗项目（含特殊医用材料）、医疗服务设施范围等3个目录，执行全省统一的生育保险待遇项目。设区市范围内执行统一的医疗费用基金起付标准、支付比例和最高支付限额；执行统一的基本医疗保险门诊统筹、门诊慢性病、门诊特殊疾病病种等保障待遇范围和标准；执行统一的生育保险待遇标准。对设区市内原各统筹地区待遇标准差距过大的项目，可实行1至2年过渡期，确保平稳过渡。有关设区市医疗保障部门要会同相关部门认真梳理待遇项目，在2019年12月31日前制定出台科学合理的具体过渡办法，并报省医疗保障局和省财政厅备案。</w:t>
      </w:r>
    </w:p>
    <w:p>
      <w:pPr>
        <w:spacing w:line="560" w:lineRule="exact"/>
        <w:ind w:firstLine="630"/>
        <w:rPr>
          <w:rFonts w:ascii="方正仿宋_GBK"/>
        </w:rPr>
      </w:pPr>
      <w:r>
        <w:rPr>
          <w:rFonts w:hint="eastAsia" w:ascii="方正楷体_GBK" w:eastAsia="方正楷体_GBK"/>
        </w:rPr>
        <w:t>（三）统一基金管理。</w:t>
      </w:r>
      <w:r>
        <w:rPr>
          <w:rFonts w:hint="eastAsia" w:ascii="方正仿宋_GBK"/>
        </w:rPr>
        <w:t>基本</w:t>
      </w:r>
      <w:r>
        <w:rPr>
          <w:rFonts w:hint="eastAsia"/>
        </w:rPr>
        <w:t>医疗保险和生育保险基金实行设区市统收统支和市级财政专户管理。从2020年1月1日起，各县（市、区）的职工医保和生育保险当期基金收入由征缴部门全额及时缴入国库，再划转至相关市级财政专户。各设区市根据社会保险基金预算管理有关规定和“以收定支、收支平衡、略有结余”的原则，统一编制基金预、决算，下达各县（市、区）年度收支计划。</w:t>
      </w:r>
      <w:r>
        <w:rPr>
          <w:rFonts w:hint="eastAsia" w:ascii="方正仿宋_GBK"/>
        </w:rPr>
        <w:t>设区市医疗保障部门根据市级预算，统一向同级财政部门申报月度资金使用计划，财政部门按月及时拨付。</w:t>
      </w:r>
    </w:p>
    <w:p>
      <w:pPr>
        <w:spacing w:line="560" w:lineRule="exact"/>
        <w:ind w:firstLine="630"/>
      </w:pPr>
      <w:r>
        <w:rPr>
          <w:rFonts w:hint="eastAsia"/>
        </w:rPr>
        <w:t>完善科学、严格的预算管理机制，严格按照批准的预算和规定的程序执行，不得随意调整。在执行中因特殊情况需要增加支出或减少收入，应当编制基本医疗保险和生育保险基金预算调整方案，按社会保险基金预算调整程序经批准后执行。一个预算年度内，各县（市、区）完成年度收支计划的，如当年基金收支相抵出现缺口，由设区市通过结余基金补足。累计结余不足的，由设区市根据“以收定支、收支平衡”的原则调整医保政策。居民医保筹资标准，由各设区市按照不低于国家和省规定的最低标准确定。各级财政应按规定及时履行出资义务，县（市、区）未按规定补助到位或未严格执行缴费政策等情形形成的基金收入缺口，由县（市、区）政府负责补足或追缴到位，确保基本医疗保险和生育保险健康平稳运行。</w:t>
      </w:r>
    </w:p>
    <w:p>
      <w:pPr>
        <w:spacing w:line="560" w:lineRule="exact"/>
        <w:ind w:firstLine="630"/>
        <w:rPr>
          <w:rFonts w:ascii="方正仿宋_GBK"/>
        </w:rPr>
      </w:pPr>
      <w:r>
        <w:rPr>
          <w:rFonts w:hint="eastAsia"/>
        </w:rPr>
        <w:t>实施市级统筹前原各统筹地区应对基金进行清算，对基金结余以及债权、债务等情况进行审计并予以清理。</w:t>
      </w:r>
      <w:r>
        <w:rPr>
          <w:rFonts w:hint="eastAsia" w:ascii="方正仿宋_GBK"/>
        </w:rPr>
        <w:t>2019年末的累计结余基金可暂存放原统筹地区基金财政专户，但由设区市统一管理和调度使用，具体规定和办法由各设区市人民政府制定。</w:t>
      </w:r>
    </w:p>
    <w:p>
      <w:pPr>
        <w:spacing w:line="560" w:lineRule="exact"/>
        <w:ind w:firstLine="630"/>
      </w:pPr>
      <w:r>
        <w:rPr>
          <w:rFonts w:hint="eastAsia" w:ascii="方正楷体_GBK" w:eastAsia="方正楷体_GBK"/>
        </w:rPr>
        <w:t>（四）统一经办管理。</w:t>
      </w:r>
      <w:r>
        <w:rPr>
          <w:rFonts w:hint="eastAsia"/>
        </w:rPr>
        <w:t>各设区市执行统一的基本医疗保险和生育保险参保登记、缴费申报、保费征缴、待遇支付、档案和财务管理等业务经办工作流程和服务规范。推进实现一站式、一窗式服务模式，加强医疗保障公共服务标准化、信息化和便利化建设。健全市、县（市、区）、乡（镇、街道）经办管理服务网络。</w:t>
      </w:r>
    </w:p>
    <w:p>
      <w:pPr>
        <w:spacing w:line="560" w:lineRule="exact"/>
        <w:ind w:firstLine="630"/>
        <w:rPr>
          <w:rFonts w:ascii="仿宋_GB2312"/>
          <w:szCs w:val="32"/>
        </w:rPr>
      </w:pPr>
      <w:r>
        <w:rPr>
          <w:rFonts w:hint="eastAsia" w:ascii="方正楷体_GBK" w:eastAsia="方正楷体_GBK"/>
        </w:rPr>
        <w:t>（五）统一定点管理</w:t>
      </w:r>
      <w:r>
        <w:rPr>
          <w:rFonts w:hint="eastAsia" w:ascii="方正魏碑_GBK" w:eastAsia="方正魏碑_GBK"/>
        </w:rPr>
        <w:t>。</w:t>
      </w:r>
      <w:r>
        <w:rPr>
          <w:rFonts w:hint="eastAsia" w:ascii="方正仿宋_GBK"/>
        </w:rPr>
        <w:t>各设区市</w:t>
      </w:r>
      <w:r>
        <w:rPr>
          <w:rFonts w:hint="eastAsia" w:ascii="仿宋_GB2312"/>
          <w:szCs w:val="32"/>
        </w:rPr>
        <w:t>执行统一的定点医药机构协议管理办法；实行分级分类、精细化管理，健全能进能出的动态管理机制，对申请纳入协议管理医药机构执行统一的准入条件、评估规则和工作流程；执行统一的各类各级定点医药机构协议文本和考核办法，明确权利责任义务，细化违约情形及相应处理措施。加强对定点医药机构医保协议签订管理和协议执行监管，定期组织开展协议履行情况监督检查。</w:t>
      </w:r>
    </w:p>
    <w:p>
      <w:pPr>
        <w:spacing w:line="560" w:lineRule="exact"/>
        <w:ind w:firstLine="630"/>
        <w:rPr>
          <w:rFonts w:ascii="方正黑体_GBK" w:eastAsia="方正黑体_GBK"/>
        </w:rPr>
      </w:pPr>
      <w:r>
        <w:rPr>
          <w:rFonts w:hint="eastAsia" w:ascii="方正楷体_GBK" w:eastAsia="方正楷体_GBK"/>
        </w:rPr>
        <w:t>（六）加快统一信息系统建设。</w:t>
      </w:r>
      <w:r>
        <w:rPr>
          <w:rFonts w:hint="eastAsia" w:ascii="方正仿宋_GBK"/>
        </w:rPr>
        <w:t>各设区市要</w:t>
      </w:r>
      <w:r>
        <w:rPr>
          <w:rFonts w:hint="eastAsia" w:ascii="方正仿宋_GBK"/>
          <w:szCs w:val="32"/>
        </w:rPr>
        <w:t>充分依托现有信息系统，加强部门间信息共享，实现数据向上集中、服务向下延伸，以满足基金统收统支管理要求。按照国家和省统一的建设规范和标准，2020年12月31日前构建市级集中的基本医疗保险和生育保险业务信息系统，</w:t>
      </w:r>
      <w:r>
        <w:rPr>
          <w:rFonts w:hint="eastAsia"/>
        </w:rPr>
        <w:t>为统一规范基本政策以及经办管理、定点管理等提供有力的支撑。</w:t>
      </w:r>
    </w:p>
    <w:p>
      <w:pPr>
        <w:spacing w:line="560" w:lineRule="exact"/>
        <w:ind w:firstLine="630"/>
        <w:rPr>
          <w:rFonts w:ascii="方正黑体_GBK" w:eastAsia="方正黑体_GBK"/>
        </w:rPr>
      </w:pPr>
      <w:r>
        <w:rPr>
          <w:rFonts w:hint="eastAsia" w:ascii="方正黑体_GBK" w:eastAsia="方正黑体_GBK"/>
        </w:rPr>
        <w:t>四、配套保障措施</w:t>
      </w:r>
    </w:p>
    <w:p>
      <w:pPr>
        <w:spacing w:line="560" w:lineRule="exact"/>
        <w:ind w:firstLine="630"/>
      </w:pPr>
      <w:r>
        <w:rPr>
          <w:rFonts w:hint="eastAsia" w:ascii="方正楷体_GBK" w:eastAsia="方正楷体_GBK"/>
        </w:rPr>
        <w:t>（一）强化扩面征缴及预算编制执行。</w:t>
      </w:r>
      <w:r>
        <w:rPr>
          <w:rFonts w:hint="eastAsia"/>
        </w:rPr>
        <w:t>完善基本医疗保险和生育保险费征收机制，进一步提高征管效能。医疗保障部门要会同人力资源社会保障、税务等部门深入实施全民参保计划，完善全民参保登记数据库，强化部门间数据共享和比对，推动扩面工作向精确管理转变，基本实现法定人员应保尽保，基本医疗保险和生育保险费应缴尽缴。加强基金预算的严肃性，严格规范基金收支内容、标准和范围，强化预算执行约束力，层层压实工作责任。</w:t>
      </w:r>
    </w:p>
    <w:p>
      <w:pPr>
        <w:spacing w:line="560" w:lineRule="exact"/>
        <w:ind w:firstLine="630"/>
      </w:pPr>
      <w:r>
        <w:rPr>
          <w:rFonts w:hint="eastAsia" w:ascii="方正楷体_GBK" w:eastAsia="方正楷体_GBK"/>
        </w:rPr>
        <w:t>（二）强化基金管理监督。</w:t>
      </w:r>
      <w:r>
        <w:rPr>
          <w:rFonts w:hint="eastAsia" w:ascii="方正仿宋_GBK"/>
        </w:rPr>
        <w:t>基本</w:t>
      </w:r>
      <w:r>
        <w:rPr>
          <w:rFonts w:hint="eastAsia"/>
        </w:rPr>
        <w:t>医疗保险和生育保险基金专款专用，不得用于平衡财政预算。市、县（市、区）医疗保障部门要会同财政、税务、卫生健康等部门定期对基金征缴、支付及管理等环节开展监督检查，及时发现查处存在问题，严厉打击欺诈骗保行为，确保基金安全完整。加强对基金运行情况的动态监测，建立基金运行风险预警机制，制定切实可行的基金运行风险处置预案。</w:t>
      </w:r>
    </w:p>
    <w:p>
      <w:pPr>
        <w:spacing w:line="560" w:lineRule="exact"/>
        <w:ind w:firstLine="630"/>
      </w:pPr>
      <w:r>
        <w:rPr>
          <w:rFonts w:hint="eastAsia" w:ascii="方正楷体_GBK" w:eastAsia="方正楷体_GBK"/>
        </w:rPr>
        <w:t>（三）强化分级诊疗制度建设。</w:t>
      </w:r>
      <w:r>
        <w:rPr>
          <w:rFonts w:hint="eastAsia"/>
        </w:rPr>
        <w:t>各地要完善不同级别医疗机构的医保差异化支付政策，合理拉开基层医疗卫生机构、县级医疗机构和城市医疗机构间报销水平差距，提高基层医疗卫生机构医保支付比例，鼓励并规范常见病、多发病患者首先到基层医疗卫生机构就诊。同时，要进一步加强紧密型医疗联合体建设，充分发挥全科医生和家庭签约医生健康守门人和医保费用控制守门人作用，提升基层医疗卫生机构服务能力和首诊服务利用率，切实为患者提供便捷服务，</w:t>
      </w:r>
      <w:r>
        <w:rPr>
          <w:rFonts w:hint="eastAsia" w:ascii="方正仿宋_GBK"/>
        </w:rPr>
        <w:t>巩固分级诊疗成果，</w:t>
      </w:r>
      <w:r>
        <w:rPr>
          <w:rFonts w:hint="eastAsia"/>
        </w:rPr>
        <w:t>引导参保人员合理有序就医，</w:t>
      </w:r>
      <w:r>
        <w:rPr>
          <w:rFonts w:hint="eastAsia" w:ascii="方正仿宋_GBK"/>
        </w:rPr>
        <w:t>防止因基本医疗保险和生育保险市级统筹冲击分级诊疗制度</w:t>
      </w:r>
      <w:r>
        <w:rPr>
          <w:rFonts w:hint="eastAsia"/>
        </w:rPr>
        <w:t>。</w:t>
      </w:r>
    </w:p>
    <w:p>
      <w:pPr>
        <w:spacing w:line="560" w:lineRule="exact"/>
        <w:ind w:firstLine="630"/>
        <w:rPr>
          <w:rFonts w:ascii="方正黑体_GBK" w:eastAsia="方正黑体_GBK"/>
        </w:rPr>
      </w:pPr>
      <w:r>
        <w:rPr>
          <w:rFonts w:hint="eastAsia" w:ascii="方正黑体_GBK" w:hAnsi="方正楷体_GBK" w:eastAsia="方正黑体_GBK" w:cs="方正楷体_GBK"/>
        </w:rPr>
        <w:t>五</w:t>
      </w:r>
      <w:r>
        <w:rPr>
          <w:rFonts w:hint="eastAsia" w:ascii="方正黑体_GBK" w:eastAsia="方正黑体_GBK"/>
        </w:rPr>
        <w:t>、组织领导</w:t>
      </w:r>
    </w:p>
    <w:p>
      <w:pPr>
        <w:spacing w:line="560" w:lineRule="exact"/>
        <w:ind w:firstLine="630"/>
      </w:pPr>
      <w:r>
        <w:rPr>
          <w:rFonts w:hint="eastAsia" w:ascii="方正楷体_GBK" w:eastAsia="方正楷体_GBK"/>
        </w:rPr>
        <w:t>（一）加强组织领导。</w:t>
      </w:r>
      <w:r>
        <w:rPr>
          <w:rFonts w:hint="eastAsia"/>
        </w:rPr>
        <w:t>实施基本医疗保险和生育保险市级统筹，是加强医疗保障体系建设的重要内容，事关改革、发展和稳定。各市、县（市、区）人民政府要提高政治站位，强化大局意识，坚持以人民为中心，切实把这项工作摆上重要位置，做到主要领导亲自过问，分管领导具体负责，一级抓一级、层层抓落实，确保领导到位、责任到位、工作到位。各设区市要在</w:t>
      </w:r>
      <w:r>
        <w:t>201</w:t>
      </w:r>
      <w:r>
        <w:rPr>
          <w:rFonts w:hint="eastAsia"/>
        </w:rPr>
        <w:t>9年9月底前出台具体实施方案并报省医疗保障局、省财政厅和省卫生健康委员会备案。</w:t>
      </w:r>
    </w:p>
    <w:p>
      <w:pPr>
        <w:spacing w:line="560" w:lineRule="exact"/>
        <w:ind w:firstLine="630"/>
      </w:pPr>
      <w:r>
        <w:rPr>
          <w:rFonts w:hint="eastAsia" w:ascii="方正楷体_GBK" w:eastAsia="方正楷体_GBK"/>
        </w:rPr>
        <w:t>（二）加强责任考核。</w:t>
      </w:r>
      <w:r>
        <w:rPr>
          <w:rFonts w:hint="eastAsia"/>
        </w:rPr>
        <w:t>各设区市</w:t>
      </w:r>
      <w:r>
        <w:rPr>
          <w:rFonts w:hint="eastAsia" w:ascii="方正仿宋_GBK"/>
        </w:rPr>
        <w:t>根据国家和省下达的基本</w:t>
      </w:r>
      <w:r>
        <w:rPr>
          <w:rFonts w:hint="eastAsia"/>
        </w:rPr>
        <w:t>医疗保险和生育保险参保扩面、基金征收等目标任务，细化分解并下达各县（市、区），从2020年起，将扩面征缴、待遇支付、定点管理、基金预算管理、基金统收统支等落实情况纳入各县（市、区）人民政府工作责任制考核和年度综合考核范围，加大考核力度，严格奖惩措施。</w:t>
      </w:r>
    </w:p>
    <w:p>
      <w:pPr>
        <w:spacing w:line="560" w:lineRule="exact"/>
        <w:ind w:firstLine="630"/>
      </w:pPr>
      <w:r>
        <w:rPr>
          <w:rFonts w:hint="eastAsia" w:ascii="方正楷体_GBK" w:eastAsia="方正楷体_GBK"/>
        </w:rPr>
        <w:t>（三）加强协同配合。</w:t>
      </w:r>
      <w:r>
        <w:rPr>
          <w:rFonts w:hint="eastAsia"/>
        </w:rPr>
        <w:t>医疗保障、财政、人力资源社会保障、卫生健康</w:t>
      </w:r>
      <w:r>
        <w:rPr>
          <w:rFonts w:hint="eastAsia" w:ascii="方正魏碑_GBK" w:eastAsia="方正魏碑_GBK"/>
        </w:rPr>
        <w:t>、</w:t>
      </w:r>
      <w:r>
        <w:rPr>
          <w:rFonts w:hint="eastAsia"/>
        </w:rPr>
        <w:t>税务等部门要各司其职、协调配合，形成工作合力。医疗保障部门要做好基本医疗保险和生育保险市级统筹工作的组织实施。财政部门要会同相关部门做好基金收支预算，加强基金财政专户管理，及时足额安排城乡居民医保财政补助资金。人力资源社会保障部门要共同做好全民参保工作，做好基本医疗保险和生育保险信息系统的对接工作。卫生健康部门要牵头做好分级诊疗、医疗联合体建设、家庭医生签约及提升基层医疗卫生机构服务能力等工作，更好保障参保人员获得优质医疗卫生服务。税务部门要贯彻落实社会保险费征管体制改革要求，依法履行征管职责，做好基本医疗保险和生育保险费的征收工作</w:t>
      </w:r>
      <w:r>
        <w:rPr>
          <w:rFonts w:hint="eastAsia" w:ascii="方正魏碑_GBK" w:eastAsia="方正魏碑_GBK"/>
        </w:rPr>
        <w:t>。</w:t>
      </w:r>
      <w:r>
        <w:rPr>
          <w:rFonts w:hint="eastAsia"/>
        </w:rPr>
        <w:t>省医疗保障局要会同省财政厅、省人力资源社会保障厅、省卫生健康委员会、省税务局，加强对各地实施市级统筹情况的督促检查，及时总结经验，研究解决问题，确保市级统筹顺利实施</w:t>
      </w:r>
      <w:r>
        <w:rPr>
          <w:rFonts w:hint="eastAsia" w:ascii="方正魏碑_GBK" w:eastAsia="方正魏碑_GBK"/>
        </w:rPr>
        <w:t>。</w:t>
      </w:r>
    </w:p>
    <w:p>
      <w:r>
        <w:rPr>
          <w:rFonts w:hint="eastAsia" w:ascii="方正楷体_GBK" w:eastAsia="方正楷体_GBK"/>
        </w:rPr>
        <w:t>（四）加强宣传引导。</w:t>
      </w:r>
      <w:r>
        <w:rPr>
          <w:rFonts w:hint="eastAsia"/>
        </w:rPr>
        <w:t>要加强正面宣传和舆论引导，充分发挥报纸、广播、电视等传统媒体以及网络、微信等新媒体作用，对市级统筹相关政策做法进行深入解读，及时回应参保人员关注的参保缴费、待遇享受、关系转移等问题，让参保人员对市级统筹有全面、准确的认识，引导参保人员自觉遵守基本医疗保险和生育保险政策规定，主动转变就医习惯，做到合理有序就医。</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魏碑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95"/>
    <w:rsid w:val="00002087"/>
    <w:rsid w:val="00002D79"/>
    <w:rsid w:val="00007ABF"/>
    <w:rsid w:val="00014196"/>
    <w:rsid w:val="000145B5"/>
    <w:rsid w:val="00014D39"/>
    <w:rsid w:val="00015A25"/>
    <w:rsid w:val="00020567"/>
    <w:rsid w:val="0002195C"/>
    <w:rsid w:val="00022DA5"/>
    <w:rsid w:val="00025E82"/>
    <w:rsid w:val="000276A3"/>
    <w:rsid w:val="00031E89"/>
    <w:rsid w:val="000322D0"/>
    <w:rsid w:val="00032A3F"/>
    <w:rsid w:val="00034623"/>
    <w:rsid w:val="00035255"/>
    <w:rsid w:val="000360BD"/>
    <w:rsid w:val="00036FB9"/>
    <w:rsid w:val="00040114"/>
    <w:rsid w:val="000403F9"/>
    <w:rsid w:val="00040814"/>
    <w:rsid w:val="00040D29"/>
    <w:rsid w:val="000419C8"/>
    <w:rsid w:val="00042C27"/>
    <w:rsid w:val="00043223"/>
    <w:rsid w:val="0005197D"/>
    <w:rsid w:val="000530D2"/>
    <w:rsid w:val="00053DCB"/>
    <w:rsid w:val="00055EC0"/>
    <w:rsid w:val="0006709A"/>
    <w:rsid w:val="00067CBC"/>
    <w:rsid w:val="00070A1E"/>
    <w:rsid w:val="00075C0A"/>
    <w:rsid w:val="00077F3B"/>
    <w:rsid w:val="00084F8F"/>
    <w:rsid w:val="000A047F"/>
    <w:rsid w:val="000A1925"/>
    <w:rsid w:val="000A2BD2"/>
    <w:rsid w:val="000B1620"/>
    <w:rsid w:val="000B1B7D"/>
    <w:rsid w:val="000B6ECA"/>
    <w:rsid w:val="000C046C"/>
    <w:rsid w:val="000C0661"/>
    <w:rsid w:val="000C1EC6"/>
    <w:rsid w:val="000C2BF1"/>
    <w:rsid w:val="000C52D5"/>
    <w:rsid w:val="000C63B6"/>
    <w:rsid w:val="000D5C71"/>
    <w:rsid w:val="000D611E"/>
    <w:rsid w:val="000E6E82"/>
    <w:rsid w:val="000F111B"/>
    <w:rsid w:val="000F1F6C"/>
    <w:rsid w:val="000F36A0"/>
    <w:rsid w:val="000F5315"/>
    <w:rsid w:val="000F5B3B"/>
    <w:rsid w:val="000F7037"/>
    <w:rsid w:val="001017A7"/>
    <w:rsid w:val="00101B08"/>
    <w:rsid w:val="0011306B"/>
    <w:rsid w:val="001131B1"/>
    <w:rsid w:val="0011618F"/>
    <w:rsid w:val="0012030D"/>
    <w:rsid w:val="00121850"/>
    <w:rsid w:val="001231AC"/>
    <w:rsid w:val="00124629"/>
    <w:rsid w:val="001249F6"/>
    <w:rsid w:val="00124C63"/>
    <w:rsid w:val="00124D8F"/>
    <w:rsid w:val="00125EED"/>
    <w:rsid w:val="00133035"/>
    <w:rsid w:val="001332B7"/>
    <w:rsid w:val="00133D2F"/>
    <w:rsid w:val="00137257"/>
    <w:rsid w:val="00137A01"/>
    <w:rsid w:val="00140FDB"/>
    <w:rsid w:val="00141843"/>
    <w:rsid w:val="0014287C"/>
    <w:rsid w:val="00144181"/>
    <w:rsid w:val="001445D5"/>
    <w:rsid w:val="001463FF"/>
    <w:rsid w:val="001467C5"/>
    <w:rsid w:val="00146E73"/>
    <w:rsid w:val="00150503"/>
    <w:rsid w:val="0015585C"/>
    <w:rsid w:val="00155BBC"/>
    <w:rsid w:val="00156A7B"/>
    <w:rsid w:val="001602C2"/>
    <w:rsid w:val="00160C56"/>
    <w:rsid w:val="00160C81"/>
    <w:rsid w:val="001620B1"/>
    <w:rsid w:val="00164390"/>
    <w:rsid w:val="001673A1"/>
    <w:rsid w:val="0017098B"/>
    <w:rsid w:val="0017100E"/>
    <w:rsid w:val="00174C36"/>
    <w:rsid w:val="00181142"/>
    <w:rsid w:val="00183F6A"/>
    <w:rsid w:val="00184633"/>
    <w:rsid w:val="0018488A"/>
    <w:rsid w:val="001848E7"/>
    <w:rsid w:val="00184FD7"/>
    <w:rsid w:val="00185B6E"/>
    <w:rsid w:val="00185F84"/>
    <w:rsid w:val="001876C4"/>
    <w:rsid w:val="00187940"/>
    <w:rsid w:val="00190020"/>
    <w:rsid w:val="00192E77"/>
    <w:rsid w:val="00193A7E"/>
    <w:rsid w:val="00194972"/>
    <w:rsid w:val="0019758F"/>
    <w:rsid w:val="001A1338"/>
    <w:rsid w:val="001A2D65"/>
    <w:rsid w:val="001A2F16"/>
    <w:rsid w:val="001A550B"/>
    <w:rsid w:val="001A6167"/>
    <w:rsid w:val="001B0848"/>
    <w:rsid w:val="001B2A83"/>
    <w:rsid w:val="001B3B30"/>
    <w:rsid w:val="001B6222"/>
    <w:rsid w:val="001C06B3"/>
    <w:rsid w:val="001C51AC"/>
    <w:rsid w:val="001C5CFE"/>
    <w:rsid w:val="001C7BCF"/>
    <w:rsid w:val="001D22BC"/>
    <w:rsid w:val="001D2E80"/>
    <w:rsid w:val="001D3E17"/>
    <w:rsid w:val="001D5BAF"/>
    <w:rsid w:val="001E0A8A"/>
    <w:rsid w:val="001E0DDB"/>
    <w:rsid w:val="001E2CEA"/>
    <w:rsid w:val="001E4D6E"/>
    <w:rsid w:val="001F33E3"/>
    <w:rsid w:val="001F3C90"/>
    <w:rsid w:val="001F5827"/>
    <w:rsid w:val="001F71D3"/>
    <w:rsid w:val="00203F76"/>
    <w:rsid w:val="0021022B"/>
    <w:rsid w:val="00210CE7"/>
    <w:rsid w:val="002122A0"/>
    <w:rsid w:val="00212AB6"/>
    <w:rsid w:val="002141F4"/>
    <w:rsid w:val="0021495B"/>
    <w:rsid w:val="00214FAE"/>
    <w:rsid w:val="002154E4"/>
    <w:rsid w:val="00221965"/>
    <w:rsid w:val="0022405B"/>
    <w:rsid w:val="002246B6"/>
    <w:rsid w:val="002256E8"/>
    <w:rsid w:val="002259B4"/>
    <w:rsid w:val="00225F93"/>
    <w:rsid w:val="002305A5"/>
    <w:rsid w:val="00230A08"/>
    <w:rsid w:val="00230A2F"/>
    <w:rsid w:val="00234C67"/>
    <w:rsid w:val="002351C6"/>
    <w:rsid w:val="0023568B"/>
    <w:rsid w:val="00235C7D"/>
    <w:rsid w:val="00235C98"/>
    <w:rsid w:val="00236312"/>
    <w:rsid w:val="0023650A"/>
    <w:rsid w:val="0024278A"/>
    <w:rsid w:val="00243A27"/>
    <w:rsid w:val="002460C3"/>
    <w:rsid w:val="00246223"/>
    <w:rsid w:val="00250A2A"/>
    <w:rsid w:val="00253639"/>
    <w:rsid w:val="0025761A"/>
    <w:rsid w:val="002619C0"/>
    <w:rsid w:val="00263A80"/>
    <w:rsid w:val="00270296"/>
    <w:rsid w:val="00276AD4"/>
    <w:rsid w:val="00276C1A"/>
    <w:rsid w:val="002810C5"/>
    <w:rsid w:val="00281E9C"/>
    <w:rsid w:val="0028212A"/>
    <w:rsid w:val="00283FDC"/>
    <w:rsid w:val="00287445"/>
    <w:rsid w:val="00290C29"/>
    <w:rsid w:val="002914EB"/>
    <w:rsid w:val="00292284"/>
    <w:rsid w:val="0029295C"/>
    <w:rsid w:val="00294B94"/>
    <w:rsid w:val="00295559"/>
    <w:rsid w:val="002A585A"/>
    <w:rsid w:val="002A5BFF"/>
    <w:rsid w:val="002A7935"/>
    <w:rsid w:val="002B1C83"/>
    <w:rsid w:val="002B2CD1"/>
    <w:rsid w:val="002B2D4E"/>
    <w:rsid w:val="002B3CB9"/>
    <w:rsid w:val="002B4748"/>
    <w:rsid w:val="002B59D9"/>
    <w:rsid w:val="002C3801"/>
    <w:rsid w:val="002C3F82"/>
    <w:rsid w:val="002C46B1"/>
    <w:rsid w:val="002C59D4"/>
    <w:rsid w:val="002D2FEA"/>
    <w:rsid w:val="002D3314"/>
    <w:rsid w:val="002D3468"/>
    <w:rsid w:val="002D5536"/>
    <w:rsid w:val="002D5D59"/>
    <w:rsid w:val="002D5EFF"/>
    <w:rsid w:val="002D7988"/>
    <w:rsid w:val="002E14C5"/>
    <w:rsid w:val="002E3073"/>
    <w:rsid w:val="002E3B50"/>
    <w:rsid w:val="002E400E"/>
    <w:rsid w:val="002E5AD4"/>
    <w:rsid w:val="002E6A77"/>
    <w:rsid w:val="002E6DA1"/>
    <w:rsid w:val="002F296C"/>
    <w:rsid w:val="002F3023"/>
    <w:rsid w:val="002F3C19"/>
    <w:rsid w:val="002F46DE"/>
    <w:rsid w:val="002F58D7"/>
    <w:rsid w:val="002F649B"/>
    <w:rsid w:val="002F6D19"/>
    <w:rsid w:val="00301305"/>
    <w:rsid w:val="00301BE9"/>
    <w:rsid w:val="00302348"/>
    <w:rsid w:val="003059F6"/>
    <w:rsid w:val="00305AC5"/>
    <w:rsid w:val="00306617"/>
    <w:rsid w:val="003067B5"/>
    <w:rsid w:val="003074C6"/>
    <w:rsid w:val="0031050C"/>
    <w:rsid w:val="0031150A"/>
    <w:rsid w:val="0031315E"/>
    <w:rsid w:val="00313917"/>
    <w:rsid w:val="0031568C"/>
    <w:rsid w:val="00316307"/>
    <w:rsid w:val="0032063F"/>
    <w:rsid w:val="00321713"/>
    <w:rsid w:val="00325706"/>
    <w:rsid w:val="00326990"/>
    <w:rsid w:val="00331F2F"/>
    <w:rsid w:val="0033202D"/>
    <w:rsid w:val="00333EE2"/>
    <w:rsid w:val="00334157"/>
    <w:rsid w:val="00337E98"/>
    <w:rsid w:val="00340E81"/>
    <w:rsid w:val="0034266D"/>
    <w:rsid w:val="00343DE1"/>
    <w:rsid w:val="00343E7A"/>
    <w:rsid w:val="003450C5"/>
    <w:rsid w:val="003478C7"/>
    <w:rsid w:val="00347ECD"/>
    <w:rsid w:val="00350C3D"/>
    <w:rsid w:val="0035423F"/>
    <w:rsid w:val="00362555"/>
    <w:rsid w:val="00366B5A"/>
    <w:rsid w:val="00370014"/>
    <w:rsid w:val="003731EF"/>
    <w:rsid w:val="00375C2B"/>
    <w:rsid w:val="00376E28"/>
    <w:rsid w:val="00377A39"/>
    <w:rsid w:val="00380252"/>
    <w:rsid w:val="0038376A"/>
    <w:rsid w:val="00383EBA"/>
    <w:rsid w:val="00384803"/>
    <w:rsid w:val="00390D6C"/>
    <w:rsid w:val="00391EE7"/>
    <w:rsid w:val="00392506"/>
    <w:rsid w:val="00393445"/>
    <w:rsid w:val="0039428C"/>
    <w:rsid w:val="0039507E"/>
    <w:rsid w:val="00395345"/>
    <w:rsid w:val="0039773C"/>
    <w:rsid w:val="00397955"/>
    <w:rsid w:val="003A4A71"/>
    <w:rsid w:val="003C4717"/>
    <w:rsid w:val="003C678A"/>
    <w:rsid w:val="003D25FC"/>
    <w:rsid w:val="003D6876"/>
    <w:rsid w:val="003E195D"/>
    <w:rsid w:val="003E22C7"/>
    <w:rsid w:val="003F19B1"/>
    <w:rsid w:val="003F2B4C"/>
    <w:rsid w:val="003F32F9"/>
    <w:rsid w:val="003F35CF"/>
    <w:rsid w:val="003F41D6"/>
    <w:rsid w:val="003F46B8"/>
    <w:rsid w:val="003F4BEB"/>
    <w:rsid w:val="003F6C51"/>
    <w:rsid w:val="003F71AA"/>
    <w:rsid w:val="00401E45"/>
    <w:rsid w:val="00405741"/>
    <w:rsid w:val="004109B5"/>
    <w:rsid w:val="00413183"/>
    <w:rsid w:val="0041377A"/>
    <w:rsid w:val="0041391C"/>
    <w:rsid w:val="00413B58"/>
    <w:rsid w:val="00413C17"/>
    <w:rsid w:val="00414C50"/>
    <w:rsid w:val="004209CC"/>
    <w:rsid w:val="00421FDC"/>
    <w:rsid w:val="004229B5"/>
    <w:rsid w:val="00423134"/>
    <w:rsid w:val="004243C0"/>
    <w:rsid w:val="00424B77"/>
    <w:rsid w:val="00425B26"/>
    <w:rsid w:val="00430782"/>
    <w:rsid w:val="00430EC6"/>
    <w:rsid w:val="00431ABB"/>
    <w:rsid w:val="00432824"/>
    <w:rsid w:val="00433489"/>
    <w:rsid w:val="004366CB"/>
    <w:rsid w:val="00436ECB"/>
    <w:rsid w:val="00440D38"/>
    <w:rsid w:val="00441ECA"/>
    <w:rsid w:val="004428F1"/>
    <w:rsid w:val="004463DE"/>
    <w:rsid w:val="0045059C"/>
    <w:rsid w:val="0045064E"/>
    <w:rsid w:val="004517DA"/>
    <w:rsid w:val="00451A5B"/>
    <w:rsid w:val="0045438B"/>
    <w:rsid w:val="004553DA"/>
    <w:rsid w:val="00455685"/>
    <w:rsid w:val="004622CF"/>
    <w:rsid w:val="00462E23"/>
    <w:rsid w:val="004630F5"/>
    <w:rsid w:val="00465EBC"/>
    <w:rsid w:val="004722E6"/>
    <w:rsid w:val="004728AC"/>
    <w:rsid w:val="00482154"/>
    <w:rsid w:val="0048231B"/>
    <w:rsid w:val="00486A82"/>
    <w:rsid w:val="0049212D"/>
    <w:rsid w:val="004958CF"/>
    <w:rsid w:val="00495D50"/>
    <w:rsid w:val="0049719C"/>
    <w:rsid w:val="004A27B2"/>
    <w:rsid w:val="004A4A96"/>
    <w:rsid w:val="004A6131"/>
    <w:rsid w:val="004B0070"/>
    <w:rsid w:val="004B39BE"/>
    <w:rsid w:val="004B4E93"/>
    <w:rsid w:val="004B6D50"/>
    <w:rsid w:val="004C03C2"/>
    <w:rsid w:val="004C2A6A"/>
    <w:rsid w:val="004C3320"/>
    <w:rsid w:val="004C360D"/>
    <w:rsid w:val="004C3882"/>
    <w:rsid w:val="004C4358"/>
    <w:rsid w:val="004C4F4C"/>
    <w:rsid w:val="004C682F"/>
    <w:rsid w:val="004C6942"/>
    <w:rsid w:val="004D0CF8"/>
    <w:rsid w:val="004D1E5C"/>
    <w:rsid w:val="004D2B96"/>
    <w:rsid w:val="004D3216"/>
    <w:rsid w:val="004D372C"/>
    <w:rsid w:val="004D5650"/>
    <w:rsid w:val="004D6320"/>
    <w:rsid w:val="004E0282"/>
    <w:rsid w:val="004E03D2"/>
    <w:rsid w:val="004E37FE"/>
    <w:rsid w:val="004F060E"/>
    <w:rsid w:val="004F0F0C"/>
    <w:rsid w:val="004F1442"/>
    <w:rsid w:val="004F1D2A"/>
    <w:rsid w:val="004F2AE0"/>
    <w:rsid w:val="004F4E7B"/>
    <w:rsid w:val="004F50E2"/>
    <w:rsid w:val="004F5664"/>
    <w:rsid w:val="004F56A1"/>
    <w:rsid w:val="0050261B"/>
    <w:rsid w:val="005026F5"/>
    <w:rsid w:val="00502BF0"/>
    <w:rsid w:val="0050305B"/>
    <w:rsid w:val="00507C80"/>
    <w:rsid w:val="00510065"/>
    <w:rsid w:val="00511404"/>
    <w:rsid w:val="005127D3"/>
    <w:rsid w:val="00514569"/>
    <w:rsid w:val="00517F10"/>
    <w:rsid w:val="00522B8F"/>
    <w:rsid w:val="0053125E"/>
    <w:rsid w:val="00533F5B"/>
    <w:rsid w:val="005352F6"/>
    <w:rsid w:val="005403E6"/>
    <w:rsid w:val="00541AA3"/>
    <w:rsid w:val="00542D9B"/>
    <w:rsid w:val="00546F43"/>
    <w:rsid w:val="00547307"/>
    <w:rsid w:val="005479AE"/>
    <w:rsid w:val="00552C39"/>
    <w:rsid w:val="0055327E"/>
    <w:rsid w:val="00554153"/>
    <w:rsid w:val="0055459E"/>
    <w:rsid w:val="00556AC2"/>
    <w:rsid w:val="00563BD1"/>
    <w:rsid w:val="00564CB5"/>
    <w:rsid w:val="005660C1"/>
    <w:rsid w:val="00570245"/>
    <w:rsid w:val="0057341B"/>
    <w:rsid w:val="00574900"/>
    <w:rsid w:val="00576AA3"/>
    <w:rsid w:val="00581F46"/>
    <w:rsid w:val="00582FA3"/>
    <w:rsid w:val="00584ECF"/>
    <w:rsid w:val="005960A3"/>
    <w:rsid w:val="005968B6"/>
    <w:rsid w:val="00596924"/>
    <w:rsid w:val="00597147"/>
    <w:rsid w:val="005971BF"/>
    <w:rsid w:val="005A34BE"/>
    <w:rsid w:val="005A3FD6"/>
    <w:rsid w:val="005A49A0"/>
    <w:rsid w:val="005A70FB"/>
    <w:rsid w:val="005A7A7C"/>
    <w:rsid w:val="005B3B1C"/>
    <w:rsid w:val="005B5B24"/>
    <w:rsid w:val="005B6167"/>
    <w:rsid w:val="005C122D"/>
    <w:rsid w:val="005C12E3"/>
    <w:rsid w:val="005C21C6"/>
    <w:rsid w:val="005C37BD"/>
    <w:rsid w:val="005C797E"/>
    <w:rsid w:val="005D056B"/>
    <w:rsid w:val="005D0874"/>
    <w:rsid w:val="005D2016"/>
    <w:rsid w:val="005D207F"/>
    <w:rsid w:val="005D3235"/>
    <w:rsid w:val="005D410C"/>
    <w:rsid w:val="005D4182"/>
    <w:rsid w:val="005D676A"/>
    <w:rsid w:val="005D6B6E"/>
    <w:rsid w:val="005E04DA"/>
    <w:rsid w:val="005E0734"/>
    <w:rsid w:val="005E176D"/>
    <w:rsid w:val="005E5036"/>
    <w:rsid w:val="005F2021"/>
    <w:rsid w:val="005F34B9"/>
    <w:rsid w:val="005F4567"/>
    <w:rsid w:val="005F51EC"/>
    <w:rsid w:val="005F6B34"/>
    <w:rsid w:val="006012E2"/>
    <w:rsid w:val="0060155D"/>
    <w:rsid w:val="00601DC9"/>
    <w:rsid w:val="00602302"/>
    <w:rsid w:val="006039FE"/>
    <w:rsid w:val="00603A61"/>
    <w:rsid w:val="00604705"/>
    <w:rsid w:val="00606857"/>
    <w:rsid w:val="00611146"/>
    <w:rsid w:val="0061114A"/>
    <w:rsid w:val="006138A1"/>
    <w:rsid w:val="0061546C"/>
    <w:rsid w:val="00620BF7"/>
    <w:rsid w:val="00622F41"/>
    <w:rsid w:val="00623454"/>
    <w:rsid w:val="00623C83"/>
    <w:rsid w:val="006261BB"/>
    <w:rsid w:val="00626451"/>
    <w:rsid w:val="00631126"/>
    <w:rsid w:val="006334CC"/>
    <w:rsid w:val="00633A44"/>
    <w:rsid w:val="006351C5"/>
    <w:rsid w:val="00636A40"/>
    <w:rsid w:val="00636DC2"/>
    <w:rsid w:val="0064116B"/>
    <w:rsid w:val="00642B7A"/>
    <w:rsid w:val="0065114F"/>
    <w:rsid w:val="00651C9F"/>
    <w:rsid w:val="00654260"/>
    <w:rsid w:val="006555DA"/>
    <w:rsid w:val="00660582"/>
    <w:rsid w:val="006630C2"/>
    <w:rsid w:val="00665ADD"/>
    <w:rsid w:val="00665BAA"/>
    <w:rsid w:val="00667C1B"/>
    <w:rsid w:val="006706F9"/>
    <w:rsid w:val="00671015"/>
    <w:rsid w:val="006715DB"/>
    <w:rsid w:val="0067336A"/>
    <w:rsid w:val="0067447C"/>
    <w:rsid w:val="00682494"/>
    <w:rsid w:val="00682543"/>
    <w:rsid w:val="006860EC"/>
    <w:rsid w:val="00687E34"/>
    <w:rsid w:val="00692E4F"/>
    <w:rsid w:val="0069660F"/>
    <w:rsid w:val="006A12D7"/>
    <w:rsid w:val="006B21F2"/>
    <w:rsid w:val="006B3D5E"/>
    <w:rsid w:val="006B4DF2"/>
    <w:rsid w:val="006B619D"/>
    <w:rsid w:val="006B6E06"/>
    <w:rsid w:val="006C0385"/>
    <w:rsid w:val="006C402D"/>
    <w:rsid w:val="006C6085"/>
    <w:rsid w:val="006C7F1C"/>
    <w:rsid w:val="006C7FD9"/>
    <w:rsid w:val="006D37C6"/>
    <w:rsid w:val="006D3EDD"/>
    <w:rsid w:val="006D42C2"/>
    <w:rsid w:val="006D4725"/>
    <w:rsid w:val="006D6817"/>
    <w:rsid w:val="006D681B"/>
    <w:rsid w:val="006E3641"/>
    <w:rsid w:val="006E460A"/>
    <w:rsid w:val="006E7961"/>
    <w:rsid w:val="006F16A4"/>
    <w:rsid w:val="006F193E"/>
    <w:rsid w:val="006F1E3C"/>
    <w:rsid w:val="006F263F"/>
    <w:rsid w:val="006F342C"/>
    <w:rsid w:val="006F39A5"/>
    <w:rsid w:val="00701FBD"/>
    <w:rsid w:val="007022AD"/>
    <w:rsid w:val="00704990"/>
    <w:rsid w:val="00704F12"/>
    <w:rsid w:val="0070577E"/>
    <w:rsid w:val="007072CA"/>
    <w:rsid w:val="00710022"/>
    <w:rsid w:val="00711332"/>
    <w:rsid w:val="0071192C"/>
    <w:rsid w:val="0071211F"/>
    <w:rsid w:val="007131E9"/>
    <w:rsid w:val="007142C4"/>
    <w:rsid w:val="00725C3D"/>
    <w:rsid w:val="007302B2"/>
    <w:rsid w:val="007328AD"/>
    <w:rsid w:val="00734557"/>
    <w:rsid w:val="0073711A"/>
    <w:rsid w:val="00742114"/>
    <w:rsid w:val="00742FF1"/>
    <w:rsid w:val="0075100A"/>
    <w:rsid w:val="00754DFF"/>
    <w:rsid w:val="00755234"/>
    <w:rsid w:val="00757778"/>
    <w:rsid w:val="00760D38"/>
    <w:rsid w:val="007648BF"/>
    <w:rsid w:val="007666AB"/>
    <w:rsid w:val="00766BAD"/>
    <w:rsid w:val="00767A64"/>
    <w:rsid w:val="00767B2E"/>
    <w:rsid w:val="00770FD6"/>
    <w:rsid w:val="00771C39"/>
    <w:rsid w:val="00771DA3"/>
    <w:rsid w:val="00772771"/>
    <w:rsid w:val="0077301F"/>
    <w:rsid w:val="00773C96"/>
    <w:rsid w:val="007757E8"/>
    <w:rsid w:val="00781CF2"/>
    <w:rsid w:val="00782C43"/>
    <w:rsid w:val="00785690"/>
    <w:rsid w:val="00791D55"/>
    <w:rsid w:val="007924B6"/>
    <w:rsid w:val="007933DB"/>
    <w:rsid w:val="00793998"/>
    <w:rsid w:val="00796014"/>
    <w:rsid w:val="00796DE0"/>
    <w:rsid w:val="00797173"/>
    <w:rsid w:val="007977A6"/>
    <w:rsid w:val="007A13CA"/>
    <w:rsid w:val="007A191D"/>
    <w:rsid w:val="007A3A06"/>
    <w:rsid w:val="007B1A7A"/>
    <w:rsid w:val="007B32CF"/>
    <w:rsid w:val="007B3333"/>
    <w:rsid w:val="007B6EC6"/>
    <w:rsid w:val="007C1231"/>
    <w:rsid w:val="007C3602"/>
    <w:rsid w:val="007C414F"/>
    <w:rsid w:val="007C5C9C"/>
    <w:rsid w:val="007D05F0"/>
    <w:rsid w:val="007D0FA2"/>
    <w:rsid w:val="007D2E35"/>
    <w:rsid w:val="007D442E"/>
    <w:rsid w:val="007D4A89"/>
    <w:rsid w:val="007D5CE3"/>
    <w:rsid w:val="007E036D"/>
    <w:rsid w:val="007E050C"/>
    <w:rsid w:val="007E457C"/>
    <w:rsid w:val="007E490C"/>
    <w:rsid w:val="007E4BB8"/>
    <w:rsid w:val="007E5213"/>
    <w:rsid w:val="007F0EFD"/>
    <w:rsid w:val="007F2BA3"/>
    <w:rsid w:val="007F5192"/>
    <w:rsid w:val="007F5DB0"/>
    <w:rsid w:val="007F611B"/>
    <w:rsid w:val="00800377"/>
    <w:rsid w:val="00801958"/>
    <w:rsid w:val="00807E4A"/>
    <w:rsid w:val="00811B31"/>
    <w:rsid w:val="008227D7"/>
    <w:rsid w:val="00824B64"/>
    <w:rsid w:val="00831A05"/>
    <w:rsid w:val="00832BA4"/>
    <w:rsid w:val="00832F8E"/>
    <w:rsid w:val="00835080"/>
    <w:rsid w:val="00840437"/>
    <w:rsid w:val="00845B2D"/>
    <w:rsid w:val="0084771B"/>
    <w:rsid w:val="00850F3E"/>
    <w:rsid w:val="00856A69"/>
    <w:rsid w:val="00860673"/>
    <w:rsid w:val="0086283F"/>
    <w:rsid w:val="00863975"/>
    <w:rsid w:val="00864638"/>
    <w:rsid w:val="008661BD"/>
    <w:rsid w:val="00867BCB"/>
    <w:rsid w:val="0087010A"/>
    <w:rsid w:val="008707AD"/>
    <w:rsid w:val="00872B4C"/>
    <w:rsid w:val="0087591B"/>
    <w:rsid w:val="00875E79"/>
    <w:rsid w:val="00876017"/>
    <w:rsid w:val="008806F7"/>
    <w:rsid w:val="008819A4"/>
    <w:rsid w:val="00881F9D"/>
    <w:rsid w:val="00882224"/>
    <w:rsid w:val="00884D60"/>
    <w:rsid w:val="0088623E"/>
    <w:rsid w:val="00886A87"/>
    <w:rsid w:val="00886AC1"/>
    <w:rsid w:val="00890D30"/>
    <w:rsid w:val="0089254B"/>
    <w:rsid w:val="00893FA6"/>
    <w:rsid w:val="00894210"/>
    <w:rsid w:val="00894994"/>
    <w:rsid w:val="00895AF2"/>
    <w:rsid w:val="00896ADB"/>
    <w:rsid w:val="00897C3C"/>
    <w:rsid w:val="008A26EF"/>
    <w:rsid w:val="008A4D59"/>
    <w:rsid w:val="008A76E2"/>
    <w:rsid w:val="008A7C50"/>
    <w:rsid w:val="008B2BA6"/>
    <w:rsid w:val="008B3065"/>
    <w:rsid w:val="008B5BA4"/>
    <w:rsid w:val="008B5F21"/>
    <w:rsid w:val="008B78A7"/>
    <w:rsid w:val="008B7E9B"/>
    <w:rsid w:val="008C1115"/>
    <w:rsid w:val="008C18B8"/>
    <w:rsid w:val="008C2193"/>
    <w:rsid w:val="008C27E4"/>
    <w:rsid w:val="008C343A"/>
    <w:rsid w:val="008C410A"/>
    <w:rsid w:val="008C460D"/>
    <w:rsid w:val="008C4724"/>
    <w:rsid w:val="008C4F91"/>
    <w:rsid w:val="008C5898"/>
    <w:rsid w:val="008C5F0A"/>
    <w:rsid w:val="008D265C"/>
    <w:rsid w:val="008D3E64"/>
    <w:rsid w:val="008D715B"/>
    <w:rsid w:val="008E0AAB"/>
    <w:rsid w:val="008E4D26"/>
    <w:rsid w:val="008E4D2E"/>
    <w:rsid w:val="008F013A"/>
    <w:rsid w:val="008F0314"/>
    <w:rsid w:val="008F04FA"/>
    <w:rsid w:val="008F2940"/>
    <w:rsid w:val="008F4C66"/>
    <w:rsid w:val="008F620D"/>
    <w:rsid w:val="00901A84"/>
    <w:rsid w:val="00904734"/>
    <w:rsid w:val="00906ED6"/>
    <w:rsid w:val="009119B6"/>
    <w:rsid w:val="00912DC7"/>
    <w:rsid w:val="00912DCE"/>
    <w:rsid w:val="00913C1F"/>
    <w:rsid w:val="0091459A"/>
    <w:rsid w:val="009146D4"/>
    <w:rsid w:val="00914A2F"/>
    <w:rsid w:val="0091657F"/>
    <w:rsid w:val="00916659"/>
    <w:rsid w:val="0091750B"/>
    <w:rsid w:val="00920115"/>
    <w:rsid w:val="0092037D"/>
    <w:rsid w:val="00920A4F"/>
    <w:rsid w:val="00922A57"/>
    <w:rsid w:val="009233A4"/>
    <w:rsid w:val="00924E40"/>
    <w:rsid w:val="00925923"/>
    <w:rsid w:val="00926A2D"/>
    <w:rsid w:val="009306B4"/>
    <w:rsid w:val="00931E68"/>
    <w:rsid w:val="009337FD"/>
    <w:rsid w:val="00934487"/>
    <w:rsid w:val="00936044"/>
    <w:rsid w:val="0093616A"/>
    <w:rsid w:val="00940032"/>
    <w:rsid w:val="0094131B"/>
    <w:rsid w:val="009421F2"/>
    <w:rsid w:val="00944B70"/>
    <w:rsid w:val="00945DD3"/>
    <w:rsid w:val="00946A91"/>
    <w:rsid w:val="00946C55"/>
    <w:rsid w:val="00947BB2"/>
    <w:rsid w:val="00951247"/>
    <w:rsid w:val="0095537B"/>
    <w:rsid w:val="0095660D"/>
    <w:rsid w:val="009619E5"/>
    <w:rsid w:val="00962ACD"/>
    <w:rsid w:val="00964DA0"/>
    <w:rsid w:val="00965CE9"/>
    <w:rsid w:val="0096668D"/>
    <w:rsid w:val="009668FB"/>
    <w:rsid w:val="00966D9C"/>
    <w:rsid w:val="009701DE"/>
    <w:rsid w:val="009719BA"/>
    <w:rsid w:val="00972B5D"/>
    <w:rsid w:val="009765E8"/>
    <w:rsid w:val="0097780D"/>
    <w:rsid w:val="00980DED"/>
    <w:rsid w:val="00981E67"/>
    <w:rsid w:val="00983157"/>
    <w:rsid w:val="0098342C"/>
    <w:rsid w:val="009841EA"/>
    <w:rsid w:val="00985D60"/>
    <w:rsid w:val="00986981"/>
    <w:rsid w:val="00986AE0"/>
    <w:rsid w:val="00986D90"/>
    <w:rsid w:val="00986DE0"/>
    <w:rsid w:val="0098771C"/>
    <w:rsid w:val="00990364"/>
    <w:rsid w:val="00990BD6"/>
    <w:rsid w:val="00991E95"/>
    <w:rsid w:val="00995CAB"/>
    <w:rsid w:val="00997BAE"/>
    <w:rsid w:val="009A0281"/>
    <w:rsid w:val="009A43A4"/>
    <w:rsid w:val="009A64FB"/>
    <w:rsid w:val="009B14FC"/>
    <w:rsid w:val="009B1BF8"/>
    <w:rsid w:val="009B2053"/>
    <w:rsid w:val="009B22EE"/>
    <w:rsid w:val="009B4988"/>
    <w:rsid w:val="009B5B45"/>
    <w:rsid w:val="009B7F8E"/>
    <w:rsid w:val="009C0E0D"/>
    <w:rsid w:val="009C1D9A"/>
    <w:rsid w:val="009D3DA8"/>
    <w:rsid w:val="009D69AF"/>
    <w:rsid w:val="009E26F9"/>
    <w:rsid w:val="009E2E52"/>
    <w:rsid w:val="009E422E"/>
    <w:rsid w:val="009E5E16"/>
    <w:rsid w:val="009E7B2F"/>
    <w:rsid w:val="009F354F"/>
    <w:rsid w:val="00A003F7"/>
    <w:rsid w:val="00A01955"/>
    <w:rsid w:val="00A050F0"/>
    <w:rsid w:val="00A054CC"/>
    <w:rsid w:val="00A059A0"/>
    <w:rsid w:val="00A07B3F"/>
    <w:rsid w:val="00A11D22"/>
    <w:rsid w:val="00A12072"/>
    <w:rsid w:val="00A13E87"/>
    <w:rsid w:val="00A149B6"/>
    <w:rsid w:val="00A22845"/>
    <w:rsid w:val="00A234E3"/>
    <w:rsid w:val="00A240A8"/>
    <w:rsid w:val="00A24D96"/>
    <w:rsid w:val="00A2511D"/>
    <w:rsid w:val="00A264EF"/>
    <w:rsid w:val="00A26B76"/>
    <w:rsid w:val="00A272A4"/>
    <w:rsid w:val="00A313B1"/>
    <w:rsid w:val="00A3401B"/>
    <w:rsid w:val="00A34CDF"/>
    <w:rsid w:val="00A41DAC"/>
    <w:rsid w:val="00A4391F"/>
    <w:rsid w:val="00A463B7"/>
    <w:rsid w:val="00A50104"/>
    <w:rsid w:val="00A50727"/>
    <w:rsid w:val="00A514AB"/>
    <w:rsid w:val="00A526D2"/>
    <w:rsid w:val="00A54005"/>
    <w:rsid w:val="00A5412C"/>
    <w:rsid w:val="00A55CF0"/>
    <w:rsid w:val="00A61009"/>
    <w:rsid w:val="00A65791"/>
    <w:rsid w:val="00A724BC"/>
    <w:rsid w:val="00A72F18"/>
    <w:rsid w:val="00A736A4"/>
    <w:rsid w:val="00A762AA"/>
    <w:rsid w:val="00A84995"/>
    <w:rsid w:val="00A8771C"/>
    <w:rsid w:val="00A87A26"/>
    <w:rsid w:val="00A90BC4"/>
    <w:rsid w:val="00A9375A"/>
    <w:rsid w:val="00AA3699"/>
    <w:rsid w:val="00AA563F"/>
    <w:rsid w:val="00AA5E23"/>
    <w:rsid w:val="00AA744E"/>
    <w:rsid w:val="00AB0E4F"/>
    <w:rsid w:val="00AB1B0B"/>
    <w:rsid w:val="00AB1DC4"/>
    <w:rsid w:val="00AB5499"/>
    <w:rsid w:val="00AB6E14"/>
    <w:rsid w:val="00AB7B20"/>
    <w:rsid w:val="00AC1AD5"/>
    <w:rsid w:val="00AC79CC"/>
    <w:rsid w:val="00AD05E5"/>
    <w:rsid w:val="00AD1589"/>
    <w:rsid w:val="00AD3042"/>
    <w:rsid w:val="00AD579A"/>
    <w:rsid w:val="00AD64F4"/>
    <w:rsid w:val="00AE25EE"/>
    <w:rsid w:val="00AE27E8"/>
    <w:rsid w:val="00AE27EE"/>
    <w:rsid w:val="00AE3E85"/>
    <w:rsid w:val="00AE5CC7"/>
    <w:rsid w:val="00AE6733"/>
    <w:rsid w:val="00AE7041"/>
    <w:rsid w:val="00AF0554"/>
    <w:rsid w:val="00AF1B58"/>
    <w:rsid w:val="00AF2258"/>
    <w:rsid w:val="00AF2D65"/>
    <w:rsid w:val="00AF321B"/>
    <w:rsid w:val="00AF4206"/>
    <w:rsid w:val="00AF7E48"/>
    <w:rsid w:val="00B00EA9"/>
    <w:rsid w:val="00B053CF"/>
    <w:rsid w:val="00B102EC"/>
    <w:rsid w:val="00B15837"/>
    <w:rsid w:val="00B15EA8"/>
    <w:rsid w:val="00B21308"/>
    <w:rsid w:val="00B23169"/>
    <w:rsid w:val="00B25C1E"/>
    <w:rsid w:val="00B30C55"/>
    <w:rsid w:val="00B31FEF"/>
    <w:rsid w:val="00B324DA"/>
    <w:rsid w:val="00B33C96"/>
    <w:rsid w:val="00B34194"/>
    <w:rsid w:val="00B35AF1"/>
    <w:rsid w:val="00B36492"/>
    <w:rsid w:val="00B370A8"/>
    <w:rsid w:val="00B44841"/>
    <w:rsid w:val="00B46A61"/>
    <w:rsid w:val="00B46BB4"/>
    <w:rsid w:val="00B50576"/>
    <w:rsid w:val="00B52B43"/>
    <w:rsid w:val="00B566AA"/>
    <w:rsid w:val="00B57416"/>
    <w:rsid w:val="00B61821"/>
    <w:rsid w:val="00B64DC1"/>
    <w:rsid w:val="00B67810"/>
    <w:rsid w:val="00B718E9"/>
    <w:rsid w:val="00B7440D"/>
    <w:rsid w:val="00B744B9"/>
    <w:rsid w:val="00B80BA6"/>
    <w:rsid w:val="00B81B8A"/>
    <w:rsid w:val="00B81E82"/>
    <w:rsid w:val="00B82D8A"/>
    <w:rsid w:val="00B8306E"/>
    <w:rsid w:val="00B83DC7"/>
    <w:rsid w:val="00B86B76"/>
    <w:rsid w:val="00B91365"/>
    <w:rsid w:val="00B9187E"/>
    <w:rsid w:val="00B94DDF"/>
    <w:rsid w:val="00B95AD2"/>
    <w:rsid w:val="00B96C5F"/>
    <w:rsid w:val="00BA08DB"/>
    <w:rsid w:val="00BA1A4C"/>
    <w:rsid w:val="00BA27AC"/>
    <w:rsid w:val="00BA4E32"/>
    <w:rsid w:val="00BA514B"/>
    <w:rsid w:val="00BB4CF7"/>
    <w:rsid w:val="00BB53C9"/>
    <w:rsid w:val="00BB5BFD"/>
    <w:rsid w:val="00BB70BB"/>
    <w:rsid w:val="00BB75F9"/>
    <w:rsid w:val="00BC48B8"/>
    <w:rsid w:val="00BC6C33"/>
    <w:rsid w:val="00BD0F5D"/>
    <w:rsid w:val="00BD2E03"/>
    <w:rsid w:val="00BD4E3B"/>
    <w:rsid w:val="00BE0694"/>
    <w:rsid w:val="00BE1CAF"/>
    <w:rsid w:val="00BE2B00"/>
    <w:rsid w:val="00BE47BB"/>
    <w:rsid w:val="00BF0D16"/>
    <w:rsid w:val="00BF30EB"/>
    <w:rsid w:val="00BF4103"/>
    <w:rsid w:val="00BF5C33"/>
    <w:rsid w:val="00BF65D8"/>
    <w:rsid w:val="00BF66F7"/>
    <w:rsid w:val="00BF7F9E"/>
    <w:rsid w:val="00C0144C"/>
    <w:rsid w:val="00C05E07"/>
    <w:rsid w:val="00C06235"/>
    <w:rsid w:val="00C13E72"/>
    <w:rsid w:val="00C149CC"/>
    <w:rsid w:val="00C153BD"/>
    <w:rsid w:val="00C15597"/>
    <w:rsid w:val="00C21621"/>
    <w:rsid w:val="00C21A77"/>
    <w:rsid w:val="00C23B3C"/>
    <w:rsid w:val="00C26EBA"/>
    <w:rsid w:val="00C3332C"/>
    <w:rsid w:val="00C333D1"/>
    <w:rsid w:val="00C3404B"/>
    <w:rsid w:val="00C3445F"/>
    <w:rsid w:val="00C35E36"/>
    <w:rsid w:val="00C36C43"/>
    <w:rsid w:val="00C37734"/>
    <w:rsid w:val="00C43479"/>
    <w:rsid w:val="00C434A0"/>
    <w:rsid w:val="00C44235"/>
    <w:rsid w:val="00C44460"/>
    <w:rsid w:val="00C45A24"/>
    <w:rsid w:val="00C45C99"/>
    <w:rsid w:val="00C464BA"/>
    <w:rsid w:val="00C47252"/>
    <w:rsid w:val="00C53ADD"/>
    <w:rsid w:val="00C53CBC"/>
    <w:rsid w:val="00C57C90"/>
    <w:rsid w:val="00C6010E"/>
    <w:rsid w:val="00C60BAD"/>
    <w:rsid w:val="00C62199"/>
    <w:rsid w:val="00C62BDB"/>
    <w:rsid w:val="00C64205"/>
    <w:rsid w:val="00C64D12"/>
    <w:rsid w:val="00C6637D"/>
    <w:rsid w:val="00C66567"/>
    <w:rsid w:val="00C7156E"/>
    <w:rsid w:val="00C71767"/>
    <w:rsid w:val="00C71E42"/>
    <w:rsid w:val="00C722E9"/>
    <w:rsid w:val="00C7684E"/>
    <w:rsid w:val="00C82677"/>
    <w:rsid w:val="00C82C3F"/>
    <w:rsid w:val="00C83983"/>
    <w:rsid w:val="00C846DC"/>
    <w:rsid w:val="00C86514"/>
    <w:rsid w:val="00C8673D"/>
    <w:rsid w:val="00C868DA"/>
    <w:rsid w:val="00C86F41"/>
    <w:rsid w:val="00C93457"/>
    <w:rsid w:val="00C96809"/>
    <w:rsid w:val="00CA1B43"/>
    <w:rsid w:val="00CA3851"/>
    <w:rsid w:val="00CA3B08"/>
    <w:rsid w:val="00CA43FC"/>
    <w:rsid w:val="00CA6FC1"/>
    <w:rsid w:val="00CA7329"/>
    <w:rsid w:val="00CB09BB"/>
    <w:rsid w:val="00CB5883"/>
    <w:rsid w:val="00CB5990"/>
    <w:rsid w:val="00CB716B"/>
    <w:rsid w:val="00CC07D2"/>
    <w:rsid w:val="00CC2D46"/>
    <w:rsid w:val="00CC3ACB"/>
    <w:rsid w:val="00CC6E9B"/>
    <w:rsid w:val="00CD67E3"/>
    <w:rsid w:val="00CD70AE"/>
    <w:rsid w:val="00CE1164"/>
    <w:rsid w:val="00CE1287"/>
    <w:rsid w:val="00CE14FA"/>
    <w:rsid w:val="00CE1A1B"/>
    <w:rsid w:val="00CE23BF"/>
    <w:rsid w:val="00CE29B3"/>
    <w:rsid w:val="00CE34A4"/>
    <w:rsid w:val="00CE43AB"/>
    <w:rsid w:val="00CE6189"/>
    <w:rsid w:val="00CE73C4"/>
    <w:rsid w:val="00CF2BA9"/>
    <w:rsid w:val="00CF6014"/>
    <w:rsid w:val="00CF6732"/>
    <w:rsid w:val="00CF7852"/>
    <w:rsid w:val="00D0108B"/>
    <w:rsid w:val="00D02EA4"/>
    <w:rsid w:val="00D03597"/>
    <w:rsid w:val="00D04BAC"/>
    <w:rsid w:val="00D05548"/>
    <w:rsid w:val="00D05A1B"/>
    <w:rsid w:val="00D07A61"/>
    <w:rsid w:val="00D13C7E"/>
    <w:rsid w:val="00D149D3"/>
    <w:rsid w:val="00D15236"/>
    <w:rsid w:val="00D156BD"/>
    <w:rsid w:val="00D1727D"/>
    <w:rsid w:val="00D17AB1"/>
    <w:rsid w:val="00D20CCE"/>
    <w:rsid w:val="00D2327A"/>
    <w:rsid w:val="00D23A8C"/>
    <w:rsid w:val="00D23D0C"/>
    <w:rsid w:val="00D24CA8"/>
    <w:rsid w:val="00D253A5"/>
    <w:rsid w:val="00D25A5C"/>
    <w:rsid w:val="00D32A78"/>
    <w:rsid w:val="00D33198"/>
    <w:rsid w:val="00D33B09"/>
    <w:rsid w:val="00D35506"/>
    <w:rsid w:val="00D35905"/>
    <w:rsid w:val="00D40FB3"/>
    <w:rsid w:val="00D427C9"/>
    <w:rsid w:val="00D43C39"/>
    <w:rsid w:val="00D46CEC"/>
    <w:rsid w:val="00D502A2"/>
    <w:rsid w:val="00D50C54"/>
    <w:rsid w:val="00D51CB1"/>
    <w:rsid w:val="00D526D1"/>
    <w:rsid w:val="00D53BED"/>
    <w:rsid w:val="00D54257"/>
    <w:rsid w:val="00D54F61"/>
    <w:rsid w:val="00D565C5"/>
    <w:rsid w:val="00D61D37"/>
    <w:rsid w:val="00D644E4"/>
    <w:rsid w:val="00D654FC"/>
    <w:rsid w:val="00D65FFE"/>
    <w:rsid w:val="00D6783F"/>
    <w:rsid w:val="00D73F70"/>
    <w:rsid w:val="00D76156"/>
    <w:rsid w:val="00D81590"/>
    <w:rsid w:val="00D84303"/>
    <w:rsid w:val="00D86E01"/>
    <w:rsid w:val="00D873FA"/>
    <w:rsid w:val="00D91D30"/>
    <w:rsid w:val="00D92EC0"/>
    <w:rsid w:val="00D93508"/>
    <w:rsid w:val="00D95C35"/>
    <w:rsid w:val="00D97EBC"/>
    <w:rsid w:val="00DA1961"/>
    <w:rsid w:val="00DA7398"/>
    <w:rsid w:val="00DA76EB"/>
    <w:rsid w:val="00DA7BC4"/>
    <w:rsid w:val="00DB117F"/>
    <w:rsid w:val="00DB20B8"/>
    <w:rsid w:val="00DB2DA0"/>
    <w:rsid w:val="00DB739E"/>
    <w:rsid w:val="00DB7B8E"/>
    <w:rsid w:val="00DC1659"/>
    <w:rsid w:val="00DC343F"/>
    <w:rsid w:val="00DC42FD"/>
    <w:rsid w:val="00DD0026"/>
    <w:rsid w:val="00DD1E77"/>
    <w:rsid w:val="00DD634F"/>
    <w:rsid w:val="00DE1EED"/>
    <w:rsid w:val="00DE245C"/>
    <w:rsid w:val="00DE73A2"/>
    <w:rsid w:val="00DE7683"/>
    <w:rsid w:val="00DF170A"/>
    <w:rsid w:val="00DF1742"/>
    <w:rsid w:val="00DF1FD3"/>
    <w:rsid w:val="00DF280B"/>
    <w:rsid w:val="00DF2BBC"/>
    <w:rsid w:val="00DF770D"/>
    <w:rsid w:val="00DF7F64"/>
    <w:rsid w:val="00E0173E"/>
    <w:rsid w:val="00E01E4F"/>
    <w:rsid w:val="00E03A86"/>
    <w:rsid w:val="00E04145"/>
    <w:rsid w:val="00E06DFB"/>
    <w:rsid w:val="00E07F4D"/>
    <w:rsid w:val="00E07F7D"/>
    <w:rsid w:val="00E07FA7"/>
    <w:rsid w:val="00E12FF0"/>
    <w:rsid w:val="00E12FFE"/>
    <w:rsid w:val="00E1326F"/>
    <w:rsid w:val="00E14194"/>
    <w:rsid w:val="00E15EF9"/>
    <w:rsid w:val="00E167E2"/>
    <w:rsid w:val="00E202D9"/>
    <w:rsid w:val="00E204B1"/>
    <w:rsid w:val="00E20738"/>
    <w:rsid w:val="00E2230B"/>
    <w:rsid w:val="00E30695"/>
    <w:rsid w:val="00E31560"/>
    <w:rsid w:val="00E32897"/>
    <w:rsid w:val="00E32BC1"/>
    <w:rsid w:val="00E339CB"/>
    <w:rsid w:val="00E35A4D"/>
    <w:rsid w:val="00E36974"/>
    <w:rsid w:val="00E401CB"/>
    <w:rsid w:val="00E416F6"/>
    <w:rsid w:val="00E41966"/>
    <w:rsid w:val="00E440DC"/>
    <w:rsid w:val="00E44487"/>
    <w:rsid w:val="00E44A26"/>
    <w:rsid w:val="00E4575A"/>
    <w:rsid w:val="00E46C78"/>
    <w:rsid w:val="00E47198"/>
    <w:rsid w:val="00E6405B"/>
    <w:rsid w:val="00E66727"/>
    <w:rsid w:val="00E66F00"/>
    <w:rsid w:val="00E672F4"/>
    <w:rsid w:val="00E708C4"/>
    <w:rsid w:val="00E70EEF"/>
    <w:rsid w:val="00E717B1"/>
    <w:rsid w:val="00E7215C"/>
    <w:rsid w:val="00E737B6"/>
    <w:rsid w:val="00E73EAA"/>
    <w:rsid w:val="00E8330B"/>
    <w:rsid w:val="00E836B5"/>
    <w:rsid w:val="00E83A10"/>
    <w:rsid w:val="00E919BC"/>
    <w:rsid w:val="00E94170"/>
    <w:rsid w:val="00EB0389"/>
    <w:rsid w:val="00EB06D1"/>
    <w:rsid w:val="00EB1591"/>
    <w:rsid w:val="00EB16AA"/>
    <w:rsid w:val="00EB57A2"/>
    <w:rsid w:val="00EB63BE"/>
    <w:rsid w:val="00EC211E"/>
    <w:rsid w:val="00EC4A3B"/>
    <w:rsid w:val="00EC4BF8"/>
    <w:rsid w:val="00EC59CC"/>
    <w:rsid w:val="00ED0416"/>
    <w:rsid w:val="00ED2325"/>
    <w:rsid w:val="00ED3F88"/>
    <w:rsid w:val="00ED7F5C"/>
    <w:rsid w:val="00EE323C"/>
    <w:rsid w:val="00EE4C8A"/>
    <w:rsid w:val="00EF7791"/>
    <w:rsid w:val="00F015EF"/>
    <w:rsid w:val="00F028AB"/>
    <w:rsid w:val="00F0347F"/>
    <w:rsid w:val="00F035F5"/>
    <w:rsid w:val="00F0585D"/>
    <w:rsid w:val="00F0697A"/>
    <w:rsid w:val="00F06984"/>
    <w:rsid w:val="00F10795"/>
    <w:rsid w:val="00F12A46"/>
    <w:rsid w:val="00F14003"/>
    <w:rsid w:val="00F15511"/>
    <w:rsid w:val="00F15DC9"/>
    <w:rsid w:val="00F231AA"/>
    <w:rsid w:val="00F2461E"/>
    <w:rsid w:val="00F2539C"/>
    <w:rsid w:val="00F2554E"/>
    <w:rsid w:val="00F26E50"/>
    <w:rsid w:val="00F36DA2"/>
    <w:rsid w:val="00F40BF4"/>
    <w:rsid w:val="00F42795"/>
    <w:rsid w:val="00F437C3"/>
    <w:rsid w:val="00F47DD9"/>
    <w:rsid w:val="00F5342C"/>
    <w:rsid w:val="00F57833"/>
    <w:rsid w:val="00F57899"/>
    <w:rsid w:val="00F61ADC"/>
    <w:rsid w:val="00F63C0C"/>
    <w:rsid w:val="00F64E57"/>
    <w:rsid w:val="00F6512C"/>
    <w:rsid w:val="00F677D4"/>
    <w:rsid w:val="00F713E9"/>
    <w:rsid w:val="00F724F0"/>
    <w:rsid w:val="00F74ECD"/>
    <w:rsid w:val="00F758D0"/>
    <w:rsid w:val="00F75FAD"/>
    <w:rsid w:val="00F77D71"/>
    <w:rsid w:val="00F81948"/>
    <w:rsid w:val="00F85AD7"/>
    <w:rsid w:val="00F86823"/>
    <w:rsid w:val="00F8691B"/>
    <w:rsid w:val="00F86F7F"/>
    <w:rsid w:val="00F90E9B"/>
    <w:rsid w:val="00F93328"/>
    <w:rsid w:val="00F95519"/>
    <w:rsid w:val="00F96F79"/>
    <w:rsid w:val="00FA0886"/>
    <w:rsid w:val="00FA1F0A"/>
    <w:rsid w:val="00FA544F"/>
    <w:rsid w:val="00FA73F6"/>
    <w:rsid w:val="00FA7744"/>
    <w:rsid w:val="00FA77B3"/>
    <w:rsid w:val="00FB0BC4"/>
    <w:rsid w:val="00FB13B0"/>
    <w:rsid w:val="00FB1C53"/>
    <w:rsid w:val="00FC560C"/>
    <w:rsid w:val="00FC6385"/>
    <w:rsid w:val="00FC67FA"/>
    <w:rsid w:val="00FD0FDE"/>
    <w:rsid w:val="00FD3740"/>
    <w:rsid w:val="00FD5AE1"/>
    <w:rsid w:val="00FE043D"/>
    <w:rsid w:val="00FE24A1"/>
    <w:rsid w:val="00FE400D"/>
    <w:rsid w:val="00FE4E7B"/>
    <w:rsid w:val="00FE5FB2"/>
    <w:rsid w:val="00FF0B45"/>
    <w:rsid w:val="00FF3C96"/>
    <w:rsid w:val="00FF4217"/>
    <w:rsid w:val="00FF4485"/>
    <w:rsid w:val="00FF72FC"/>
    <w:rsid w:val="00FF7A40"/>
    <w:rsid w:val="57591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方正仿宋_GBK"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0"/>
    <w:unhideWhenUsed/>
    <w:uiPriority w:val="99"/>
    <w:pPr>
      <w:tabs>
        <w:tab w:val="center" w:pos="4153"/>
        <w:tab w:val="right" w:pos="8306"/>
      </w:tabs>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customStyle="1" w:styleId="7">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character" w:customStyle="1" w:styleId="8">
    <w:name w:val="批注框文本 Char"/>
    <w:basedOn w:val="5"/>
    <w:link w:val="2"/>
    <w:semiHidden/>
    <w:uiPriority w:val="99"/>
    <w:rPr>
      <w:rFonts w:ascii="Times New Roman" w:hAnsi="Times New Roman" w:cs="Times New Roman"/>
      <w:snapToGrid w:val="0"/>
      <w:kern w:val="0"/>
      <w:sz w:val="18"/>
      <w:szCs w:val="18"/>
    </w:rPr>
  </w:style>
  <w:style w:type="character" w:customStyle="1" w:styleId="9">
    <w:name w:val="页眉 Char"/>
    <w:basedOn w:val="5"/>
    <w:link w:val="4"/>
    <w:uiPriority w:val="99"/>
    <w:rPr>
      <w:rFonts w:ascii="Times New Roman" w:hAnsi="Times New Roman" w:cs="Times New Roman"/>
      <w:snapToGrid w:val="0"/>
      <w:kern w:val="0"/>
      <w:sz w:val="18"/>
      <w:szCs w:val="18"/>
    </w:rPr>
  </w:style>
  <w:style w:type="character" w:customStyle="1" w:styleId="10">
    <w:name w:val="页脚 Char"/>
    <w:basedOn w:val="5"/>
    <w:link w:val="3"/>
    <w:uiPriority w:val="99"/>
    <w:rPr>
      <w:rFonts w:ascii="Times New Roman" w:hAnsi="Times New Roman" w:cs="Times New Roman"/>
      <w:snapToGrid w:val="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617</Words>
  <Characters>3517</Characters>
  <Lines>29</Lines>
  <Paragraphs>8</Paragraphs>
  <TotalTime>1</TotalTime>
  <ScaleCrop>false</ScaleCrop>
  <LinksUpToDate>false</LinksUpToDate>
  <CharactersWithSpaces>4126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2019-08-07T10:44:00Z</dcterms:created>
  <dc:creator>吕瑞勤</dc:creator>
  <cp:lastModifiedBy>lj</cp:lastModifiedBy>
  <cp:lastPrinted>2019-08-07T10:21:00Z</cp:lastPrinted>
  <dcterms:modified xsi:type="dcterms:W3CDTF">2019-08-07T12:18:10Z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