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6" w:beforeLines="300" w:line="2400" w:lineRule="exact"/>
        <w:jc w:val="distribute"/>
        <w:rPr>
          <w:rFonts w:ascii="Times New Roman" w:hAnsi="Times New Roman" w:eastAsia="方正小标宋_GBK"/>
          <w:color w:val="FF0000"/>
          <w:spacing w:val="-40"/>
          <w:w w:val="68"/>
          <w:kern w:val="0"/>
          <w:sz w:val="104"/>
          <w:szCs w:val="104"/>
        </w:rPr>
      </w:pPr>
      <w:bookmarkStart w:id="0" w:name="SN"/>
      <w:r>
        <w:rPr>
          <w:rFonts w:ascii="Times New Roman" w:hAnsi="Times New Roman" w:eastAsia="方正小标宋_GBK"/>
          <w:color w:val="FF0000"/>
          <w:spacing w:val="-40"/>
          <w:w w:val="68"/>
          <w:kern w:val="0"/>
          <w:sz w:val="104"/>
          <w:szCs w:val="104"/>
        </w:rPr>
        <w:t>南通市医疗保障局文件</w:t>
      </w:r>
    </w:p>
    <w:bookmarkEnd w:id="0"/>
    <w:p>
      <w:pPr>
        <w:spacing w:line="700" w:lineRule="exact"/>
        <w:jc w:val="center"/>
        <w:rPr>
          <w:rFonts w:ascii="Times New Roman" w:hAnsi="Times New Roman" w:eastAsia="方正仿宋_GBK"/>
          <w:sz w:val="32"/>
          <w:szCs w:val="32"/>
        </w:rPr>
      </w:pPr>
    </w:p>
    <w:p>
      <w:pPr>
        <w:spacing w:line="70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通医保办发〔2021〕3号</w:t>
      </w:r>
    </w:p>
    <w:p>
      <w:pPr>
        <w:jc w:val="center"/>
        <w:rPr>
          <w:rFonts w:ascii="Times New Roman" w:hAnsi="Times New Roman"/>
          <w:b/>
          <w:sz w:val="36"/>
          <w:szCs w:val="36"/>
        </w:rPr>
      </w:pPr>
      <w:r>
        <w:rPr>
          <w:rFonts w:ascii="Times New Roman" w:hAnsi="Times New Roman"/>
          <w:b/>
          <w:sz w:val="36"/>
          <w:szCs w:val="36"/>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100965</wp:posOffset>
                </wp:positionV>
                <wp:extent cx="5734050" cy="9525"/>
                <wp:effectExtent l="17145" t="15240" r="11430" b="13335"/>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flipV="1">
                          <a:off x="0" y="0"/>
                          <a:ext cx="5734050" cy="9525"/>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flip:y;margin-left:-3.95pt;margin-top:7.95pt;height:0.75pt;width:451.5pt;z-index:251659264;mso-width-relative:page;mso-height-relative:page;" filled="f" stroked="t" coordsize="21600,21600" o:gfxdata="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vlUQXXAAAACAEAAA8AAAAAAAAAAQAgAAAAIgAAAGRycy9k&#10;b3ducmV2LnhtbFBLAQIUABQAAAAIAIdO4kBsKoFfAwIAANoDAAAOAAAAAAAAAAEAIAAAACYBAABk&#10;cnMvZTJvRG9jLnhtbFBLBQYAAAAABgAGAFkBAACbBQAAAAA=&#10;">
                <v:fill on="f" focussize="0,0"/>
                <v:stroke weight="1.5pt" color="#FF0000" joinstyle="round"/>
                <v:imagedata o:title=""/>
                <o:lock v:ext="edit" aspectratio="f"/>
              </v:shape>
            </w:pict>
          </mc:Fallback>
        </mc:AlternateContent>
      </w:r>
    </w:p>
    <w:p>
      <w:pPr>
        <w:spacing w:line="700" w:lineRule="exact"/>
        <w:jc w:val="center"/>
        <w:rPr>
          <w:rFonts w:ascii="方正小标宋_GBK" w:eastAsia="方正小标宋_GBK"/>
          <w:sz w:val="44"/>
          <w:szCs w:val="44"/>
        </w:rPr>
      </w:pPr>
      <w:bookmarkStart w:id="1" w:name="OLE_LINK3"/>
      <w:r>
        <w:rPr>
          <w:rFonts w:hint="eastAsia" w:ascii="方正小标宋_GBK" w:eastAsia="方正小标宋_GBK"/>
          <w:sz w:val="44"/>
          <w:szCs w:val="44"/>
        </w:rPr>
        <w:t>关于印发《2021年度医疗保障</w:t>
      </w:r>
    </w:p>
    <w:p>
      <w:pPr>
        <w:spacing w:line="700" w:lineRule="exact"/>
        <w:jc w:val="center"/>
        <w:rPr>
          <w:rFonts w:ascii="方正小标宋_GBK" w:eastAsia="方正小标宋_GBK"/>
          <w:sz w:val="44"/>
          <w:szCs w:val="44"/>
        </w:rPr>
      </w:pPr>
      <w:r>
        <w:rPr>
          <w:rFonts w:hint="eastAsia" w:ascii="方正小标宋_GBK" w:eastAsia="方正小标宋_GBK"/>
          <w:sz w:val="44"/>
          <w:szCs w:val="44"/>
        </w:rPr>
        <w:t>行政检查计划》的通知</w:t>
      </w:r>
    </w:p>
    <w:bookmarkEnd w:id="1"/>
    <w:p>
      <w:pPr>
        <w:spacing w:line="590" w:lineRule="exact"/>
        <w:rPr>
          <w:rFonts w:ascii="方正仿宋_GBK" w:eastAsia="方正仿宋_GBK"/>
          <w:sz w:val="32"/>
          <w:szCs w:val="32"/>
        </w:rPr>
      </w:pPr>
    </w:p>
    <w:p>
      <w:pPr>
        <w:spacing w:line="560" w:lineRule="exact"/>
        <w:rPr>
          <w:rFonts w:ascii="方正仿宋_GBK" w:eastAsia="方正仿宋_GBK"/>
          <w:sz w:val="32"/>
          <w:szCs w:val="32"/>
        </w:rPr>
      </w:pPr>
      <w:r>
        <w:rPr>
          <w:rFonts w:hint="eastAsia" w:ascii="方正仿宋_GBK" w:eastAsia="方正仿宋_GBK"/>
          <w:sz w:val="32"/>
          <w:szCs w:val="32"/>
        </w:rPr>
        <w:t>局各处室、中心：</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根据《中华人民共和国社会保</w:t>
      </w:r>
      <w:r>
        <w:rPr>
          <w:rFonts w:hint="eastAsia" w:ascii="方正仿宋_GBK" w:eastAsia="方正仿宋_GBK"/>
          <w:sz w:val="32"/>
          <w:szCs w:val="32"/>
          <w:lang w:eastAsia="zh-CN"/>
        </w:rPr>
        <w:t>险</w:t>
      </w:r>
      <w:bookmarkStart w:id="2" w:name="_GoBack"/>
      <w:bookmarkEnd w:id="2"/>
      <w:r>
        <w:rPr>
          <w:rFonts w:hint="eastAsia" w:ascii="方正仿宋_GBK" w:eastAsia="方正仿宋_GBK"/>
          <w:sz w:val="32"/>
          <w:szCs w:val="32"/>
        </w:rPr>
        <w:t>法》《社会保险稽核办法》（劳动部令第 16 号）、《医疗保障行政执法事项指导目录》（医保发〔2020〕35号）、《医疗保障系统全面推行行政执法公示制度执法全过程记录制度重大执法决定法制审核制度实施办法（试行）》（医保发〔2020〕32号）及省局相关要求等规定，结合实际，编制2021年度医疗保障行政检查计划如下：</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一、指导思想</w:t>
      </w:r>
    </w:p>
    <w:p>
      <w:pPr>
        <w:spacing w:line="560" w:lineRule="exact"/>
        <w:ind w:firstLine="640" w:firstLineChars="200"/>
        <w:rPr>
          <w:rFonts w:ascii="方正黑体_GBK" w:eastAsia="方正黑体_GBK"/>
          <w:sz w:val="32"/>
          <w:szCs w:val="32"/>
        </w:rPr>
      </w:pPr>
      <w:r>
        <w:rPr>
          <w:rFonts w:hint="eastAsia" w:ascii="方正仿宋_GBK" w:eastAsia="方正仿宋_GBK"/>
          <w:sz w:val="32"/>
          <w:szCs w:val="32"/>
        </w:rPr>
        <w:t>认真贯彻党中央、国务院和省局关于强化医保基金安全的重要决策部署，落实《医疗保障行政执法事项指导目录》和《医疗保障系统全面推行行政执法公示制度执法全过程记录制度重大执法决定法制审核制度实施办法（试行）》的精神，坚持依法监管，创新监管方式，规范执法行为，推动定点医药机构落实医保基金安全管理主体责任，用人单位落实参保缴费法定义务，参保人员依法享受医疗保障待遇，有效防范欺诈骗保行为的发生，守好全市人民群众的“救命钱”。</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二、目标任务</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以防范欺诈骗行为发生，保障基金安全为目标，</w:t>
      </w:r>
      <w:r>
        <w:rPr>
          <w:rFonts w:hint="eastAsia" w:ascii="方正仿宋_GBK" w:eastAsia="方正仿宋_GBK"/>
          <w:sz w:val="32"/>
          <w:szCs w:val="32"/>
        </w:rPr>
        <w:t>按照分层级、分类别、全对接的要求，将涉及医保基金安全所有行政执法事项纳入年度行政检查计划。全面落实“双随机一公开”的要求，探索全方位监管，增强行政检查质量和有效性，</w:t>
      </w:r>
      <w:r>
        <w:rPr>
          <w:rFonts w:ascii="方正仿宋_GBK" w:eastAsia="方正仿宋_GBK"/>
          <w:sz w:val="32"/>
          <w:szCs w:val="32"/>
        </w:rPr>
        <w:t>维护参保人员医保权益，增强参保人员获得感、幸福感、安全感。</w:t>
      </w:r>
    </w:p>
    <w:p>
      <w:pPr>
        <w:spacing w:line="590" w:lineRule="exact"/>
        <w:ind w:firstLine="640" w:firstLineChars="200"/>
        <w:rPr>
          <w:rFonts w:ascii="方正黑体_GBK" w:eastAsia="方正黑体_GBK"/>
          <w:sz w:val="32"/>
          <w:szCs w:val="32"/>
        </w:rPr>
      </w:pPr>
      <w:r>
        <w:rPr>
          <w:rFonts w:hint="eastAsia" w:ascii="方正黑体_GBK" w:eastAsia="方正黑体_GBK"/>
          <w:sz w:val="32"/>
          <w:szCs w:val="32"/>
        </w:rPr>
        <w:t>三、检查重点及分工</w:t>
      </w:r>
    </w:p>
    <w:tbl>
      <w:tblPr>
        <w:tblStyle w:val="5"/>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560"/>
        <w:gridCol w:w="3550"/>
        <w:gridCol w:w="2396"/>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08" w:type="dxa"/>
            <w:vAlign w:val="center"/>
          </w:tcPr>
          <w:p>
            <w:pPr>
              <w:spacing w:line="360" w:lineRule="exact"/>
              <w:jc w:val="center"/>
              <w:rPr>
                <w:rFonts w:asciiTheme="minorEastAsia" w:hAnsiTheme="minorEastAsia"/>
                <w:b/>
                <w:szCs w:val="21"/>
              </w:rPr>
            </w:pPr>
            <w:r>
              <w:rPr>
                <w:rFonts w:hint="eastAsia" w:asciiTheme="minorEastAsia" w:hAnsiTheme="minorEastAsia"/>
                <w:b/>
                <w:szCs w:val="21"/>
              </w:rPr>
              <w:t>序号</w:t>
            </w:r>
          </w:p>
        </w:tc>
        <w:tc>
          <w:tcPr>
            <w:tcW w:w="1560" w:type="dxa"/>
            <w:vAlign w:val="center"/>
          </w:tcPr>
          <w:p>
            <w:pPr>
              <w:spacing w:line="360" w:lineRule="exact"/>
              <w:jc w:val="center"/>
              <w:rPr>
                <w:rFonts w:asciiTheme="minorEastAsia" w:hAnsiTheme="minorEastAsia"/>
                <w:b/>
                <w:szCs w:val="21"/>
              </w:rPr>
            </w:pPr>
            <w:r>
              <w:rPr>
                <w:rFonts w:hint="eastAsia" w:asciiTheme="minorEastAsia" w:hAnsiTheme="minorEastAsia"/>
                <w:b/>
                <w:szCs w:val="21"/>
              </w:rPr>
              <w:t>检查项目</w:t>
            </w:r>
          </w:p>
        </w:tc>
        <w:tc>
          <w:tcPr>
            <w:tcW w:w="3550" w:type="dxa"/>
            <w:vAlign w:val="center"/>
          </w:tcPr>
          <w:p>
            <w:pPr>
              <w:spacing w:line="360" w:lineRule="exact"/>
              <w:jc w:val="center"/>
              <w:rPr>
                <w:rFonts w:asciiTheme="minorEastAsia" w:hAnsiTheme="minorEastAsia"/>
                <w:b/>
                <w:szCs w:val="21"/>
              </w:rPr>
            </w:pPr>
            <w:r>
              <w:rPr>
                <w:rFonts w:hint="eastAsia" w:asciiTheme="minorEastAsia" w:hAnsiTheme="minorEastAsia"/>
                <w:b/>
                <w:szCs w:val="21"/>
              </w:rPr>
              <w:t>重点内容</w:t>
            </w:r>
          </w:p>
        </w:tc>
        <w:tc>
          <w:tcPr>
            <w:tcW w:w="2396" w:type="dxa"/>
            <w:vAlign w:val="center"/>
          </w:tcPr>
          <w:p>
            <w:pPr>
              <w:spacing w:line="360" w:lineRule="exact"/>
              <w:jc w:val="center"/>
              <w:rPr>
                <w:rFonts w:asciiTheme="minorEastAsia" w:hAnsiTheme="minorEastAsia"/>
                <w:b/>
                <w:szCs w:val="21"/>
              </w:rPr>
            </w:pPr>
            <w:r>
              <w:rPr>
                <w:rFonts w:hint="eastAsia" w:asciiTheme="minorEastAsia" w:hAnsiTheme="minorEastAsia"/>
                <w:b/>
                <w:szCs w:val="21"/>
              </w:rPr>
              <w:t>相关要求</w:t>
            </w:r>
          </w:p>
        </w:tc>
        <w:tc>
          <w:tcPr>
            <w:tcW w:w="1274" w:type="dxa"/>
            <w:vAlign w:val="center"/>
          </w:tcPr>
          <w:p>
            <w:pPr>
              <w:spacing w:line="360" w:lineRule="exact"/>
              <w:jc w:val="center"/>
              <w:rPr>
                <w:rFonts w:asciiTheme="minorEastAsia" w:hAnsiTheme="minorEastAsia"/>
                <w:b/>
                <w:szCs w:val="21"/>
              </w:rPr>
            </w:pPr>
            <w:r>
              <w:rPr>
                <w:rFonts w:hint="eastAsia" w:asciiTheme="minorEastAsia" w:hAnsiTheme="minorEastAsia"/>
                <w:b/>
                <w:szCs w:val="21"/>
              </w:rPr>
              <w:t>责任处室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jc w:val="center"/>
        </w:trPr>
        <w:tc>
          <w:tcPr>
            <w:tcW w:w="708" w:type="dxa"/>
            <w:vAlign w:val="center"/>
          </w:tcPr>
          <w:p>
            <w:pPr>
              <w:spacing w:line="360" w:lineRule="exact"/>
              <w:jc w:val="center"/>
              <w:rPr>
                <w:rFonts w:asciiTheme="minorEastAsia" w:hAnsiTheme="minorEastAsia"/>
                <w:szCs w:val="21"/>
              </w:rPr>
            </w:pPr>
            <w:r>
              <w:rPr>
                <w:rFonts w:hint="eastAsia" w:asciiTheme="minorEastAsia" w:hAnsiTheme="minorEastAsia"/>
                <w:szCs w:val="21"/>
              </w:rPr>
              <w:t>1</w:t>
            </w:r>
          </w:p>
        </w:tc>
        <w:tc>
          <w:tcPr>
            <w:tcW w:w="1560" w:type="dxa"/>
            <w:vAlign w:val="center"/>
          </w:tcPr>
          <w:p>
            <w:pPr>
              <w:spacing w:line="320" w:lineRule="exact"/>
              <w:jc w:val="center"/>
              <w:rPr>
                <w:rFonts w:asciiTheme="minorEastAsia" w:hAnsiTheme="minorEastAsia"/>
                <w:szCs w:val="21"/>
              </w:rPr>
            </w:pPr>
            <w:r>
              <w:rPr>
                <w:rFonts w:hint="eastAsia" w:asciiTheme="minorEastAsia" w:hAnsiTheme="minorEastAsia"/>
                <w:szCs w:val="21"/>
              </w:rPr>
              <w:t>打击欺诈骗保</w:t>
            </w:r>
          </w:p>
        </w:tc>
        <w:tc>
          <w:tcPr>
            <w:tcW w:w="3550" w:type="dxa"/>
            <w:vAlign w:val="center"/>
          </w:tcPr>
          <w:p>
            <w:pPr>
              <w:spacing w:line="320" w:lineRule="exact"/>
              <w:rPr>
                <w:rFonts w:asciiTheme="minorEastAsia" w:hAnsiTheme="minorEastAsia"/>
                <w:szCs w:val="21"/>
              </w:rPr>
            </w:pPr>
            <w:r>
              <w:rPr>
                <w:rFonts w:hint="eastAsia" w:asciiTheme="minorEastAsia" w:hAnsiTheme="minorEastAsia"/>
                <w:szCs w:val="21"/>
              </w:rPr>
              <w:t>1.以“假病人”“假病情”“假票据”为重点，兼顾冒名就诊、挂床住院、违规收费、不合理医疗等违规违法行为。</w:t>
            </w:r>
          </w:p>
          <w:p>
            <w:pPr>
              <w:spacing w:line="320" w:lineRule="exact"/>
              <w:rPr>
                <w:rFonts w:asciiTheme="minorEastAsia" w:hAnsiTheme="minorEastAsia"/>
                <w:szCs w:val="21"/>
              </w:rPr>
            </w:pPr>
            <w:r>
              <w:rPr>
                <w:rFonts w:hint="eastAsia" w:asciiTheme="minorEastAsia" w:hAnsiTheme="minorEastAsia"/>
                <w:szCs w:val="21"/>
              </w:rPr>
              <w:t>2.组织开展超药品限定使用范围和无指征使用药品专项行动。</w:t>
            </w:r>
          </w:p>
          <w:p>
            <w:pPr>
              <w:spacing w:line="320" w:lineRule="exact"/>
              <w:rPr>
                <w:rFonts w:asciiTheme="minorEastAsia" w:hAnsiTheme="minorEastAsia"/>
                <w:szCs w:val="21"/>
              </w:rPr>
            </w:pPr>
            <w:r>
              <w:rPr>
                <w:rFonts w:hint="eastAsia" w:asciiTheme="minorEastAsia" w:hAnsiTheme="minorEastAsia"/>
                <w:szCs w:val="21"/>
              </w:rPr>
              <w:t>3.开展专项治理“回头看”，集中打击在医保定点医疗机构中仍存在的诱导住院、虚假住院等违法行为。</w:t>
            </w:r>
            <w:r>
              <w:rPr>
                <w:rFonts w:asciiTheme="minorEastAsia" w:hAnsiTheme="minorEastAsia"/>
                <w:szCs w:val="21"/>
              </w:rPr>
              <w:t xml:space="preserve"> </w:t>
            </w:r>
          </w:p>
        </w:tc>
        <w:tc>
          <w:tcPr>
            <w:tcW w:w="2396" w:type="dxa"/>
            <w:vAlign w:val="center"/>
          </w:tcPr>
          <w:p>
            <w:pPr>
              <w:spacing w:line="320" w:lineRule="exact"/>
              <w:rPr>
                <w:rFonts w:asciiTheme="minorEastAsia" w:hAnsiTheme="minorEastAsia"/>
                <w:szCs w:val="21"/>
              </w:rPr>
            </w:pPr>
            <w:r>
              <w:rPr>
                <w:rFonts w:hint="eastAsia" w:asciiTheme="minorEastAsia" w:hAnsiTheme="minorEastAsia"/>
                <w:szCs w:val="21"/>
              </w:rPr>
              <w:t>1.二级以上医疗机构覆盖率不低于20%。</w:t>
            </w:r>
          </w:p>
          <w:p>
            <w:pPr>
              <w:spacing w:line="320" w:lineRule="exact"/>
              <w:rPr>
                <w:rFonts w:asciiTheme="minorEastAsia" w:hAnsiTheme="minorEastAsia"/>
                <w:szCs w:val="21"/>
              </w:rPr>
            </w:pPr>
            <w:r>
              <w:rPr>
                <w:rFonts w:hint="eastAsia" w:asciiTheme="minorEastAsia" w:hAnsiTheme="minorEastAsia"/>
                <w:szCs w:val="21"/>
              </w:rPr>
              <w:t>2.市本级案件发布不少于10件。</w:t>
            </w:r>
          </w:p>
        </w:tc>
        <w:tc>
          <w:tcPr>
            <w:tcW w:w="1274" w:type="dxa"/>
            <w:vAlign w:val="center"/>
          </w:tcPr>
          <w:p>
            <w:pPr>
              <w:spacing w:line="360" w:lineRule="exact"/>
              <w:jc w:val="center"/>
              <w:rPr>
                <w:rFonts w:asciiTheme="minorEastAsia" w:hAnsiTheme="minorEastAsia"/>
                <w:szCs w:val="21"/>
              </w:rPr>
            </w:pPr>
            <w:r>
              <w:rPr>
                <w:rFonts w:hint="eastAsia" w:asciiTheme="minorEastAsia" w:hAnsiTheme="minorEastAsia"/>
                <w:szCs w:val="21"/>
              </w:rPr>
              <w:t>基金监督处</w:t>
            </w:r>
          </w:p>
          <w:p>
            <w:pPr>
              <w:spacing w:line="360" w:lineRule="exact"/>
              <w:jc w:val="center"/>
              <w:rPr>
                <w:rFonts w:asciiTheme="minorEastAsia" w:hAnsiTheme="minorEastAsia"/>
                <w:szCs w:val="21"/>
              </w:rPr>
            </w:pPr>
            <w:r>
              <w:rPr>
                <w:rFonts w:hint="eastAsia" w:asciiTheme="minorEastAsia" w:hAnsiTheme="minorEastAsia"/>
                <w:szCs w:val="21"/>
              </w:rPr>
              <w:t>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708" w:type="dxa"/>
            <w:vAlign w:val="center"/>
          </w:tcPr>
          <w:p>
            <w:pPr>
              <w:spacing w:line="360" w:lineRule="exact"/>
              <w:jc w:val="center"/>
              <w:rPr>
                <w:rFonts w:asciiTheme="minorEastAsia" w:hAnsiTheme="minorEastAsia"/>
                <w:szCs w:val="21"/>
              </w:rPr>
            </w:pPr>
            <w:r>
              <w:rPr>
                <w:rFonts w:hint="eastAsia" w:asciiTheme="minorEastAsia" w:hAnsiTheme="minorEastAsia"/>
                <w:szCs w:val="21"/>
              </w:rPr>
              <w:t>2</w:t>
            </w:r>
          </w:p>
        </w:tc>
        <w:tc>
          <w:tcPr>
            <w:tcW w:w="1560" w:type="dxa"/>
            <w:vAlign w:val="center"/>
          </w:tcPr>
          <w:p>
            <w:pPr>
              <w:spacing w:line="320" w:lineRule="exact"/>
              <w:jc w:val="center"/>
              <w:rPr>
                <w:rFonts w:asciiTheme="minorEastAsia" w:hAnsiTheme="minorEastAsia"/>
                <w:szCs w:val="21"/>
              </w:rPr>
            </w:pPr>
            <w:r>
              <w:rPr>
                <w:rFonts w:asciiTheme="minorEastAsia" w:hAnsiTheme="minorEastAsia"/>
                <w:szCs w:val="21"/>
              </w:rPr>
              <w:t>对用人单位不办理医疗保险和生育保险登记检查</w:t>
            </w:r>
          </w:p>
        </w:tc>
        <w:tc>
          <w:tcPr>
            <w:tcW w:w="3550" w:type="dxa"/>
            <w:vAlign w:val="center"/>
          </w:tcPr>
          <w:p>
            <w:pPr>
              <w:spacing w:line="360" w:lineRule="exact"/>
              <w:rPr>
                <w:rFonts w:asciiTheme="minorEastAsia" w:hAnsiTheme="minorEastAsia"/>
                <w:szCs w:val="21"/>
              </w:rPr>
            </w:pPr>
            <w:r>
              <w:rPr>
                <w:rFonts w:hint="eastAsia" w:asciiTheme="minorEastAsia" w:hAnsiTheme="minorEastAsia"/>
                <w:szCs w:val="21"/>
              </w:rPr>
              <w:t>1.结合服务大项目，对市区新登记的大企业进行服务、督查，确保应保尽保。</w:t>
            </w:r>
          </w:p>
          <w:p>
            <w:pPr>
              <w:spacing w:line="360" w:lineRule="exact"/>
              <w:rPr>
                <w:rFonts w:asciiTheme="minorEastAsia" w:hAnsiTheme="minorEastAsia"/>
                <w:szCs w:val="21"/>
              </w:rPr>
            </w:pPr>
            <w:r>
              <w:rPr>
                <w:rFonts w:hint="eastAsia" w:asciiTheme="minorEastAsia" w:hAnsiTheme="minorEastAsia"/>
                <w:szCs w:val="21"/>
              </w:rPr>
              <w:t>2.对其他企业开展摸排，重点检查不参保、不按规定参保等问题。</w:t>
            </w:r>
          </w:p>
        </w:tc>
        <w:tc>
          <w:tcPr>
            <w:tcW w:w="2396" w:type="dxa"/>
            <w:vAlign w:val="center"/>
          </w:tcPr>
          <w:p>
            <w:pPr>
              <w:spacing w:line="320" w:lineRule="exact"/>
              <w:rPr>
                <w:rFonts w:asciiTheme="minorEastAsia" w:hAnsiTheme="minorEastAsia"/>
                <w:szCs w:val="21"/>
              </w:rPr>
            </w:pPr>
            <w:r>
              <w:rPr>
                <w:rFonts w:hint="eastAsia" w:asciiTheme="minorEastAsia" w:hAnsiTheme="minorEastAsia"/>
                <w:szCs w:val="21"/>
              </w:rPr>
              <w:t>1.市区新登记企业随机抽查不少于20家。</w:t>
            </w:r>
          </w:p>
          <w:p>
            <w:pPr>
              <w:spacing w:line="320" w:lineRule="exact"/>
              <w:rPr>
                <w:rFonts w:asciiTheme="minorEastAsia" w:hAnsiTheme="minorEastAsia"/>
                <w:szCs w:val="21"/>
              </w:rPr>
            </w:pPr>
            <w:r>
              <w:rPr>
                <w:rFonts w:hint="eastAsia" w:asciiTheme="minorEastAsia" w:hAnsiTheme="minorEastAsia"/>
                <w:szCs w:val="21"/>
              </w:rPr>
              <w:t>2.市区原登记企业随机抽查不少于10家。</w:t>
            </w:r>
          </w:p>
          <w:p>
            <w:pPr>
              <w:spacing w:line="320" w:lineRule="exact"/>
              <w:rPr>
                <w:rFonts w:asciiTheme="minorEastAsia" w:hAnsiTheme="minorEastAsia"/>
                <w:szCs w:val="21"/>
              </w:rPr>
            </w:pPr>
            <w:r>
              <w:rPr>
                <w:rFonts w:hint="eastAsia" w:asciiTheme="minorEastAsia" w:hAnsiTheme="minorEastAsia"/>
                <w:szCs w:val="21"/>
              </w:rPr>
              <w:t>3.可采取现场检查与数据比对相结合的方式。</w:t>
            </w:r>
          </w:p>
        </w:tc>
        <w:tc>
          <w:tcPr>
            <w:tcW w:w="1274" w:type="dxa"/>
            <w:vAlign w:val="center"/>
          </w:tcPr>
          <w:p>
            <w:pPr>
              <w:spacing w:line="360" w:lineRule="exact"/>
              <w:jc w:val="center"/>
              <w:rPr>
                <w:rFonts w:asciiTheme="minorEastAsia" w:hAnsiTheme="minorEastAsia"/>
                <w:szCs w:val="21"/>
              </w:rPr>
            </w:pPr>
            <w:r>
              <w:rPr>
                <w:rFonts w:hint="eastAsia" w:asciiTheme="minorEastAsia" w:hAnsiTheme="minorEastAsia"/>
                <w:szCs w:val="21"/>
              </w:rPr>
              <w:t>待遇保障处</w:t>
            </w:r>
          </w:p>
          <w:p>
            <w:pPr>
              <w:spacing w:line="360" w:lineRule="exact"/>
              <w:jc w:val="center"/>
              <w:rPr>
                <w:rFonts w:asciiTheme="minorEastAsia" w:hAnsiTheme="minorEastAsia"/>
                <w:szCs w:val="21"/>
              </w:rPr>
            </w:pPr>
            <w:r>
              <w:rPr>
                <w:rFonts w:hint="eastAsia" w:asciiTheme="minorEastAsia" w:hAnsiTheme="minorEastAsia"/>
                <w:szCs w:val="21"/>
              </w:rPr>
              <w:t>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708" w:type="dxa"/>
            <w:vAlign w:val="center"/>
          </w:tcPr>
          <w:p>
            <w:pPr>
              <w:spacing w:line="360" w:lineRule="exact"/>
              <w:jc w:val="center"/>
              <w:rPr>
                <w:rFonts w:asciiTheme="minorEastAsia" w:hAnsiTheme="minorEastAsia"/>
                <w:szCs w:val="21"/>
              </w:rPr>
            </w:pPr>
            <w:r>
              <w:rPr>
                <w:rFonts w:hint="eastAsia" w:asciiTheme="minorEastAsia" w:hAnsiTheme="minorEastAsia"/>
                <w:szCs w:val="21"/>
              </w:rPr>
              <w:t>3</w:t>
            </w:r>
          </w:p>
        </w:tc>
        <w:tc>
          <w:tcPr>
            <w:tcW w:w="1560" w:type="dxa"/>
            <w:vAlign w:val="center"/>
          </w:tcPr>
          <w:p>
            <w:pPr>
              <w:spacing w:line="320" w:lineRule="exact"/>
              <w:jc w:val="center"/>
              <w:rPr>
                <w:rFonts w:asciiTheme="minorEastAsia" w:hAnsiTheme="minorEastAsia"/>
                <w:szCs w:val="21"/>
              </w:rPr>
            </w:pPr>
            <w:r>
              <w:rPr>
                <w:rFonts w:asciiTheme="minorEastAsia" w:hAnsiTheme="minorEastAsia"/>
                <w:szCs w:val="21"/>
              </w:rPr>
              <w:t>医疗救助监督检查</w:t>
            </w:r>
          </w:p>
        </w:tc>
        <w:tc>
          <w:tcPr>
            <w:tcW w:w="3550" w:type="dxa"/>
            <w:vAlign w:val="center"/>
          </w:tcPr>
          <w:p>
            <w:pPr>
              <w:spacing w:line="360" w:lineRule="exact"/>
              <w:rPr>
                <w:rFonts w:asciiTheme="minorEastAsia" w:hAnsiTheme="minorEastAsia"/>
                <w:szCs w:val="21"/>
              </w:rPr>
            </w:pPr>
            <w:r>
              <w:rPr>
                <w:rFonts w:hint="eastAsia" w:asciiTheme="minorEastAsia" w:hAnsiTheme="minorEastAsia"/>
                <w:szCs w:val="21"/>
              </w:rPr>
              <w:t>1.省、市医疗救助政策规定的救助范围、救助方式及标准的落实情况。</w:t>
            </w:r>
          </w:p>
          <w:p>
            <w:pPr>
              <w:spacing w:line="360" w:lineRule="exact"/>
              <w:rPr>
                <w:rFonts w:asciiTheme="minorEastAsia" w:hAnsiTheme="minorEastAsia"/>
                <w:szCs w:val="21"/>
              </w:rPr>
            </w:pPr>
            <w:r>
              <w:rPr>
                <w:rFonts w:hint="eastAsia" w:asciiTheme="minorEastAsia" w:hAnsiTheme="minorEastAsia"/>
                <w:szCs w:val="21"/>
              </w:rPr>
              <w:t>2.医疗救助对象（含建档立卡低收入人口）精准动态纳入情况。</w:t>
            </w:r>
          </w:p>
        </w:tc>
        <w:tc>
          <w:tcPr>
            <w:tcW w:w="2396" w:type="dxa"/>
            <w:vAlign w:val="center"/>
          </w:tcPr>
          <w:p>
            <w:pPr>
              <w:spacing w:line="320" w:lineRule="exact"/>
              <w:rPr>
                <w:rFonts w:asciiTheme="minorEastAsia" w:hAnsiTheme="minorEastAsia"/>
                <w:szCs w:val="21"/>
              </w:rPr>
            </w:pPr>
            <w:r>
              <w:rPr>
                <w:rFonts w:hint="eastAsia" w:asciiTheme="minorEastAsia" w:hAnsiTheme="minorEastAsia"/>
                <w:szCs w:val="21"/>
              </w:rPr>
              <w:t>1.全年不少于4次。</w:t>
            </w:r>
          </w:p>
          <w:p>
            <w:pPr>
              <w:spacing w:line="320" w:lineRule="exact"/>
              <w:rPr>
                <w:rFonts w:asciiTheme="minorEastAsia" w:hAnsiTheme="minorEastAsia"/>
                <w:szCs w:val="21"/>
              </w:rPr>
            </w:pPr>
            <w:r>
              <w:rPr>
                <w:rFonts w:hint="eastAsia" w:asciiTheme="minorEastAsia" w:hAnsiTheme="minorEastAsia"/>
                <w:szCs w:val="21"/>
              </w:rPr>
              <w:t>2.县市区全覆盖。</w:t>
            </w:r>
          </w:p>
        </w:tc>
        <w:tc>
          <w:tcPr>
            <w:tcW w:w="1274" w:type="dxa"/>
            <w:vAlign w:val="center"/>
          </w:tcPr>
          <w:p>
            <w:pPr>
              <w:spacing w:line="360" w:lineRule="exact"/>
              <w:jc w:val="center"/>
              <w:rPr>
                <w:rFonts w:asciiTheme="minorEastAsia" w:hAnsiTheme="minorEastAsia"/>
                <w:szCs w:val="21"/>
              </w:rPr>
            </w:pPr>
            <w:r>
              <w:rPr>
                <w:rFonts w:hint="eastAsia" w:asciiTheme="minorEastAsia" w:hAnsiTheme="minorEastAsia"/>
                <w:szCs w:val="21"/>
              </w:rPr>
              <w:t>待遇保障处</w:t>
            </w:r>
          </w:p>
          <w:p>
            <w:pPr>
              <w:spacing w:line="360" w:lineRule="exact"/>
              <w:jc w:val="center"/>
              <w:rPr>
                <w:rFonts w:asciiTheme="minorEastAsia" w:hAnsiTheme="minorEastAsia"/>
                <w:szCs w:val="21"/>
              </w:rPr>
            </w:pPr>
            <w:r>
              <w:rPr>
                <w:rFonts w:hint="eastAsia" w:asciiTheme="minorEastAsia" w:hAnsiTheme="minorEastAsia"/>
                <w:szCs w:val="21"/>
              </w:rPr>
              <w:t>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708" w:type="dxa"/>
            <w:vAlign w:val="center"/>
          </w:tcPr>
          <w:p>
            <w:pPr>
              <w:spacing w:line="360" w:lineRule="exact"/>
              <w:jc w:val="center"/>
              <w:rPr>
                <w:rFonts w:asciiTheme="minorEastAsia" w:hAnsiTheme="minorEastAsia"/>
                <w:szCs w:val="21"/>
              </w:rPr>
            </w:pPr>
            <w:r>
              <w:rPr>
                <w:rFonts w:hint="eastAsia" w:asciiTheme="minorEastAsia" w:hAnsiTheme="minorEastAsia"/>
                <w:szCs w:val="21"/>
              </w:rPr>
              <w:t>4</w:t>
            </w:r>
          </w:p>
        </w:tc>
        <w:tc>
          <w:tcPr>
            <w:tcW w:w="1560" w:type="dxa"/>
            <w:vAlign w:val="center"/>
          </w:tcPr>
          <w:p>
            <w:pPr>
              <w:spacing w:line="320" w:lineRule="exact"/>
              <w:jc w:val="center"/>
              <w:rPr>
                <w:rFonts w:asciiTheme="minorEastAsia" w:hAnsiTheme="minorEastAsia"/>
                <w:szCs w:val="21"/>
              </w:rPr>
            </w:pPr>
            <w:r>
              <w:rPr>
                <w:rFonts w:asciiTheme="minorEastAsia" w:hAnsiTheme="minorEastAsia"/>
                <w:szCs w:val="21"/>
              </w:rPr>
              <w:t>药品目录</w:t>
            </w:r>
          </w:p>
          <w:p>
            <w:pPr>
              <w:spacing w:line="320" w:lineRule="exact"/>
              <w:jc w:val="center"/>
              <w:rPr>
                <w:rFonts w:asciiTheme="minorEastAsia" w:hAnsiTheme="minorEastAsia"/>
                <w:szCs w:val="21"/>
              </w:rPr>
            </w:pPr>
            <w:r>
              <w:rPr>
                <w:rFonts w:asciiTheme="minorEastAsia" w:hAnsiTheme="minorEastAsia"/>
                <w:szCs w:val="21"/>
              </w:rPr>
              <w:t>落实情况检查</w:t>
            </w:r>
          </w:p>
        </w:tc>
        <w:tc>
          <w:tcPr>
            <w:tcW w:w="3550" w:type="dxa"/>
          </w:tcPr>
          <w:p>
            <w:pPr>
              <w:spacing w:line="360" w:lineRule="exact"/>
              <w:rPr>
                <w:rFonts w:asciiTheme="minorEastAsia" w:hAnsiTheme="minorEastAsia"/>
                <w:szCs w:val="21"/>
              </w:rPr>
            </w:pPr>
            <w:r>
              <w:rPr>
                <w:rFonts w:hint="eastAsia" w:asciiTheme="minorEastAsia" w:hAnsiTheme="minorEastAsia"/>
                <w:szCs w:val="21"/>
              </w:rPr>
              <w:t>1.国家谈判药的采购和使用管理情况，特别是医疗机构诊疗范围及临床所需的国家谈判药品是否应采尽采。</w:t>
            </w:r>
          </w:p>
          <w:p>
            <w:pPr>
              <w:spacing w:line="360" w:lineRule="exact"/>
              <w:rPr>
                <w:rFonts w:asciiTheme="minorEastAsia" w:hAnsiTheme="minorEastAsia"/>
                <w:szCs w:val="21"/>
              </w:rPr>
            </w:pPr>
            <w:r>
              <w:rPr>
                <w:rFonts w:hint="eastAsia" w:asciiTheme="minorEastAsia" w:hAnsiTheme="minorEastAsia"/>
                <w:szCs w:val="21"/>
              </w:rPr>
              <w:t>2.外购药品和外出检查情况，是否将参保患者在住院期间所发生的外购药品、外出检查等费用一并记入住院费用。</w:t>
            </w:r>
          </w:p>
          <w:p>
            <w:pPr>
              <w:spacing w:line="360" w:lineRule="exact"/>
              <w:rPr>
                <w:rFonts w:asciiTheme="minorEastAsia" w:hAnsiTheme="minorEastAsia"/>
                <w:szCs w:val="21"/>
              </w:rPr>
            </w:pPr>
            <w:r>
              <w:rPr>
                <w:rFonts w:hint="eastAsia" w:asciiTheme="minorEastAsia" w:hAnsiTheme="minorEastAsia"/>
                <w:szCs w:val="21"/>
              </w:rPr>
              <w:t>3.参保人员住院期间政策范围之外自费医疗费用是否控制在住院总费用的8%以内。</w:t>
            </w:r>
          </w:p>
        </w:tc>
        <w:tc>
          <w:tcPr>
            <w:tcW w:w="2396" w:type="dxa"/>
            <w:vAlign w:val="center"/>
          </w:tcPr>
          <w:p>
            <w:pPr>
              <w:spacing w:line="320" w:lineRule="exact"/>
              <w:rPr>
                <w:rFonts w:asciiTheme="minorEastAsia" w:hAnsiTheme="minorEastAsia"/>
                <w:szCs w:val="21"/>
              </w:rPr>
            </w:pPr>
            <w:r>
              <w:rPr>
                <w:rFonts w:hint="eastAsia" w:asciiTheme="minorEastAsia" w:hAnsiTheme="minorEastAsia"/>
                <w:szCs w:val="21"/>
              </w:rPr>
              <w:t>1.全年不少于2次。</w:t>
            </w:r>
          </w:p>
          <w:p>
            <w:pPr>
              <w:spacing w:line="320" w:lineRule="exact"/>
              <w:rPr>
                <w:rFonts w:asciiTheme="minorEastAsia" w:hAnsiTheme="minorEastAsia"/>
                <w:szCs w:val="21"/>
              </w:rPr>
            </w:pPr>
            <w:r>
              <w:rPr>
                <w:rFonts w:hint="eastAsia" w:asciiTheme="minorEastAsia" w:hAnsiTheme="minorEastAsia"/>
                <w:szCs w:val="21"/>
              </w:rPr>
              <w:t>2.二级以上医疗机构覆盖率不低于50%。</w:t>
            </w:r>
          </w:p>
        </w:tc>
        <w:tc>
          <w:tcPr>
            <w:tcW w:w="1274" w:type="dxa"/>
            <w:vAlign w:val="center"/>
          </w:tcPr>
          <w:p>
            <w:pPr>
              <w:spacing w:line="360" w:lineRule="exact"/>
              <w:jc w:val="center"/>
              <w:rPr>
                <w:rFonts w:asciiTheme="minorEastAsia" w:hAnsiTheme="minorEastAsia"/>
                <w:szCs w:val="21"/>
              </w:rPr>
            </w:pPr>
            <w:r>
              <w:rPr>
                <w:rFonts w:hint="eastAsia" w:asciiTheme="minorEastAsia" w:hAnsiTheme="minorEastAsia"/>
                <w:szCs w:val="21"/>
              </w:rPr>
              <w:t>医药服务处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708" w:type="dxa"/>
            <w:vAlign w:val="center"/>
          </w:tcPr>
          <w:p>
            <w:pPr>
              <w:spacing w:line="360" w:lineRule="exact"/>
              <w:jc w:val="center"/>
              <w:rPr>
                <w:rFonts w:asciiTheme="minorEastAsia" w:hAnsiTheme="minorEastAsia"/>
                <w:szCs w:val="21"/>
              </w:rPr>
            </w:pPr>
            <w:r>
              <w:rPr>
                <w:rFonts w:hint="eastAsia" w:asciiTheme="minorEastAsia" w:hAnsiTheme="minorEastAsia"/>
                <w:szCs w:val="21"/>
              </w:rPr>
              <w:t>5</w:t>
            </w:r>
          </w:p>
        </w:tc>
        <w:tc>
          <w:tcPr>
            <w:tcW w:w="1560" w:type="dxa"/>
            <w:vAlign w:val="center"/>
          </w:tcPr>
          <w:p>
            <w:pPr>
              <w:spacing w:line="320" w:lineRule="exact"/>
              <w:jc w:val="center"/>
              <w:rPr>
                <w:rFonts w:asciiTheme="minorEastAsia" w:hAnsiTheme="minorEastAsia"/>
                <w:szCs w:val="21"/>
              </w:rPr>
            </w:pPr>
            <w:r>
              <w:rPr>
                <w:rFonts w:asciiTheme="minorEastAsia" w:hAnsiTheme="minorEastAsia"/>
                <w:szCs w:val="21"/>
              </w:rPr>
              <w:t>医疗服务价格执行</w:t>
            </w:r>
            <w:r>
              <w:rPr>
                <w:rFonts w:hint="eastAsia" w:asciiTheme="minorEastAsia" w:hAnsiTheme="minorEastAsia"/>
                <w:szCs w:val="21"/>
              </w:rPr>
              <w:t>情况检查</w:t>
            </w:r>
          </w:p>
        </w:tc>
        <w:tc>
          <w:tcPr>
            <w:tcW w:w="3550" w:type="dxa"/>
          </w:tcPr>
          <w:p>
            <w:pPr>
              <w:spacing w:line="360" w:lineRule="exact"/>
              <w:rPr>
                <w:rFonts w:asciiTheme="minorEastAsia" w:hAnsiTheme="minorEastAsia"/>
                <w:szCs w:val="21"/>
              </w:rPr>
            </w:pPr>
            <w:r>
              <w:rPr>
                <w:rFonts w:hint="eastAsia" w:asciiTheme="minorEastAsia" w:hAnsiTheme="minorEastAsia"/>
                <w:szCs w:val="21"/>
              </w:rPr>
              <w:t>1.医疗服务项目价格数据库维护情况。</w:t>
            </w:r>
          </w:p>
          <w:p>
            <w:pPr>
              <w:spacing w:line="360" w:lineRule="exact"/>
              <w:rPr>
                <w:rFonts w:asciiTheme="minorEastAsia" w:hAnsiTheme="minorEastAsia"/>
                <w:szCs w:val="21"/>
              </w:rPr>
            </w:pPr>
            <w:r>
              <w:rPr>
                <w:rFonts w:hint="eastAsia" w:asciiTheme="minorEastAsia" w:hAnsiTheme="minorEastAsia"/>
                <w:szCs w:val="21"/>
              </w:rPr>
              <w:t>2.医疗服务价格执行情况及是否存在自立项目、自立耗材、套用编码、分解收费、超标准收费等情形。</w:t>
            </w:r>
          </w:p>
        </w:tc>
        <w:tc>
          <w:tcPr>
            <w:tcW w:w="2396" w:type="dxa"/>
            <w:vAlign w:val="center"/>
          </w:tcPr>
          <w:p>
            <w:pPr>
              <w:spacing w:line="320" w:lineRule="exact"/>
              <w:rPr>
                <w:rFonts w:asciiTheme="minorEastAsia" w:hAnsiTheme="minorEastAsia"/>
                <w:szCs w:val="21"/>
              </w:rPr>
            </w:pPr>
            <w:r>
              <w:rPr>
                <w:rFonts w:hint="eastAsia" w:asciiTheme="minorEastAsia" w:hAnsiTheme="minorEastAsia"/>
                <w:szCs w:val="21"/>
              </w:rPr>
              <w:t>1.全年不少于2次。</w:t>
            </w:r>
          </w:p>
          <w:p>
            <w:pPr>
              <w:spacing w:line="320" w:lineRule="exact"/>
              <w:rPr>
                <w:rFonts w:asciiTheme="minorEastAsia" w:hAnsiTheme="minorEastAsia"/>
                <w:szCs w:val="21"/>
              </w:rPr>
            </w:pPr>
            <w:r>
              <w:rPr>
                <w:rFonts w:hint="eastAsia" w:asciiTheme="minorEastAsia" w:hAnsiTheme="minorEastAsia"/>
                <w:szCs w:val="21"/>
              </w:rPr>
              <w:t>2.二级以上医疗机构覆盖率不低于50%。</w:t>
            </w:r>
          </w:p>
        </w:tc>
        <w:tc>
          <w:tcPr>
            <w:tcW w:w="1274" w:type="dxa"/>
            <w:vAlign w:val="center"/>
          </w:tcPr>
          <w:p>
            <w:pPr>
              <w:spacing w:line="360" w:lineRule="exact"/>
              <w:jc w:val="center"/>
              <w:rPr>
                <w:rFonts w:asciiTheme="minorEastAsia" w:hAnsiTheme="minorEastAsia"/>
                <w:szCs w:val="21"/>
              </w:rPr>
            </w:pPr>
            <w:r>
              <w:rPr>
                <w:rFonts w:hint="eastAsia" w:asciiTheme="minorEastAsia" w:hAnsiTheme="minorEastAsia"/>
                <w:szCs w:val="21"/>
              </w:rPr>
              <w:t>价格招采处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708" w:type="dxa"/>
            <w:vAlign w:val="center"/>
          </w:tcPr>
          <w:p>
            <w:pPr>
              <w:spacing w:line="360" w:lineRule="exact"/>
              <w:jc w:val="center"/>
              <w:rPr>
                <w:rFonts w:asciiTheme="minorEastAsia" w:hAnsiTheme="minorEastAsia"/>
                <w:szCs w:val="21"/>
              </w:rPr>
            </w:pPr>
            <w:r>
              <w:rPr>
                <w:rFonts w:hint="eastAsia" w:asciiTheme="minorEastAsia" w:hAnsiTheme="minorEastAsia"/>
                <w:szCs w:val="21"/>
              </w:rPr>
              <w:t>6</w:t>
            </w:r>
          </w:p>
        </w:tc>
        <w:tc>
          <w:tcPr>
            <w:tcW w:w="1560" w:type="dxa"/>
            <w:vAlign w:val="center"/>
          </w:tcPr>
          <w:p>
            <w:pPr>
              <w:spacing w:line="320" w:lineRule="exact"/>
              <w:jc w:val="center"/>
              <w:rPr>
                <w:rFonts w:asciiTheme="minorEastAsia" w:hAnsiTheme="minorEastAsia"/>
                <w:szCs w:val="21"/>
              </w:rPr>
            </w:pPr>
            <w:r>
              <w:rPr>
                <w:rFonts w:asciiTheme="minorEastAsia" w:hAnsiTheme="minorEastAsia"/>
                <w:szCs w:val="21"/>
              </w:rPr>
              <w:t>药品耗材</w:t>
            </w:r>
            <w:r>
              <w:rPr>
                <w:rFonts w:hint="eastAsia" w:asciiTheme="minorEastAsia" w:hAnsiTheme="minorEastAsia"/>
                <w:szCs w:val="21"/>
              </w:rPr>
              <w:t>集采、阳光</w:t>
            </w:r>
            <w:r>
              <w:rPr>
                <w:rFonts w:asciiTheme="minorEastAsia" w:hAnsiTheme="minorEastAsia"/>
                <w:szCs w:val="21"/>
              </w:rPr>
              <w:t>采购情况检查</w:t>
            </w:r>
          </w:p>
        </w:tc>
        <w:tc>
          <w:tcPr>
            <w:tcW w:w="3550" w:type="dxa"/>
          </w:tcPr>
          <w:p>
            <w:pPr>
              <w:spacing w:line="360" w:lineRule="exact"/>
              <w:rPr>
                <w:rFonts w:asciiTheme="minorEastAsia" w:hAnsiTheme="minorEastAsia"/>
                <w:szCs w:val="21"/>
              </w:rPr>
            </w:pPr>
            <w:r>
              <w:rPr>
                <w:rFonts w:hint="eastAsia" w:asciiTheme="minorEastAsia" w:hAnsiTheme="minorEastAsia"/>
                <w:szCs w:val="21"/>
              </w:rPr>
              <w:t>1.医疗机构药品耗材集采完成情况。</w:t>
            </w:r>
          </w:p>
          <w:p>
            <w:pPr>
              <w:spacing w:line="360" w:lineRule="exact"/>
              <w:rPr>
                <w:rFonts w:asciiTheme="minorEastAsia" w:hAnsiTheme="minorEastAsia"/>
                <w:szCs w:val="21"/>
              </w:rPr>
            </w:pPr>
            <w:r>
              <w:rPr>
                <w:rFonts w:hint="eastAsia" w:asciiTheme="minorEastAsia" w:hAnsiTheme="minorEastAsia"/>
                <w:szCs w:val="21"/>
              </w:rPr>
              <w:t>2.日常采购申报、计划、审批、验收、入库、退货、出库、盘点、统计各环节数据。</w:t>
            </w:r>
          </w:p>
        </w:tc>
        <w:tc>
          <w:tcPr>
            <w:tcW w:w="2396" w:type="dxa"/>
            <w:vAlign w:val="center"/>
          </w:tcPr>
          <w:p>
            <w:pPr>
              <w:spacing w:line="320" w:lineRule="exact"/>
              <w:rPr>
                <w:rFonts w:asciiTheme="minorEastAsia" w:hAnsiTheme="minorEastAsia"/>
                <w:szCs w:val="21"/>
              </w:rPr>
            </w:pPr>
            <w:r>
              <w:rPr>
                <w:rFonts w:hint="eastAsia" w:asciiTheme="minorEastAsia" w:hAnsiTheme="minorEastAsia"/>
                <w:szCs w:val="21"/>
              </w:rPr>
              <w:t>1.全年不少于2次。</w:t>
            </w:r>
          </w:p>
          <w:p>
            <w:pPr>
              <w:spacing w:line="320" w:lineRule="exact"/>
              <w:rPr>
                <w:rFonts w:asciiTheme="minorEastAsia" w:hAnsiTheme="minorEastAsia"/>
                <w:szCs w:val="21"/>
              </w:rPr>
            </w:pPr>
            <w:r>
              <w:rPr>
                <w:rFonts w:hint="eastAsia" w:asciiTheme="minorEastAsia" w:hAnsiTheme="minorEastAsia"/>
                <w:szCs w:val="21"/>
              </w:rPr>
              <w:t>2.二级以上医疗机构覆盖率不低于50%。</w:t>
            </w:r>
          </w:p>
        </w:tc>
        <w:tc>
          <w:tcPr>
            <w:tcW w:w="1274" w:type="dxa"/>
            <w:vAlign w:val="center"/>
          </w:tcPr>
          <w:p>
            <w:pPr>
              <w:spacing w:line="360" w:lineRule="exact"/>
              <w:jc w:val="center"/>
              <w:rPr>
                <w:rFonts w:asciiTheme="minorEastAsia" w:hAnsiTheme="minorEastAsia"/>
                <w:szCs w:val="21"/>
              </w:rPr>
            </w:pPr>
            <w:r>
              <w:rPr>
                <w:rFonts w:hint="eastAsia" w:asciiTheme="minorEastAsia" w:hAnsiTheme="minorEastAsia"/>
                <w:szCs w:val="21"/>
              </w:rPr>
              <w:t>价格招采处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8" w:type="dxa"/>
            <w:vAlign w:val="center"/>
          </w:tcPr>
          <w:p>
            <w:pPr>
              <w:spacing w:line="360" w:lineRule="exact"/>
              <w:jc w:val="center"/>
              <w:rPr>
                <w:rFonts w:asciiTheme="minorEastAsia" w:hAnsiTheme="minorEastAsia"/>
                <w:szCs w:val="21"/>
              </w:rPr>
            </w:pPr>
            <w:r>
              <w:rPr>
                <w:rFonts w:hint="eastAsia" w:asciiTheme="minorEastAsia" w:hAnsiTheme="minorEastAsia"/>
                <w:szCs w:val="21"/>
              </w:rPr>
              <w:t>7</w:t>
            </w:r>
          </w:p>
        </w:tc>
        <w:tc>
          <w:tcPr>
            <w:tcW w:w="1560" w:type="dxa"/>
            <w:vAlign w:val="center"/>
          </w:tcPr>
          <w:p>
            <w:pPr>
              <w:spacing w:line="320" w:lineRule="exact"/>
              <w:jc w:val="center"/>
              <w:rPr>
                <w:rFonts w:asciiTheme="minorEastAsia" w:hAnsiTheme="minorEastAsia"/>
                <w:szCs w:val="21"/>
              </w:rPr>
            </w:pPr>
            <w:r>
              <w:rPr>
                <w:rFonts w:asciiTheme="minorEastAsia" w:hAnsiTheme="minorEastAsia"/>
                <w:szCs w:val="21"/>
              </w:rPr>
              <w:t>医保基金稽核</w:t>
            </w:r>
          </w:p>
        </w:tc>
        <w:tc>
          <w:tcPr>
            <w:tcW w:w="3550" w:type="dxa"/>
            <w:vAlign w:val="center"/>
          </w:tcPr>
          <w:p>
            <w:pPr>
              <w:spacing w:line="320" w:lineRule="exact"/>
              <w:rPr>
                <w:rFonts w:asciiTheme="minorEastAsia" w:hAnsiTheme="minorEastAsia"/>
                <w:szCs w:val="21"/>
              </w:rPr>
            </w:pPr>
            <w:r>
              <w:rPr>
                <w:rFonts w:asciiTheme="minorEastAsia" w:hAnsiTheme="minorEastAsia"/>
                <w:szCs w:val="21"/>
              </w:rPr>
              <w:t>1.采取日常稽核与专项稽核、举报投诉核查相结合的方式规范有序开展稽核工作。</w:t>
            </w:r>
          </w:p>
          <w:p>
            <w:pPr>
              <w:spacing w:line="320" w:lineRule="exact"/>
              <w:rPr>
                <w:rFonts w:asciiTheme="minorEastAsia" w:hAnsiTheme="minorEastAsia"/>
                <w:szCs w:val="21"/>
              </w:rPr>
            </w:pPr>
            <w:r>
              <w:rPr>
                <w:rFonts w:asciiTheme="minorEastAsia" w:hAnsiTheme="minorEastAsia"/>
                <w:szCs w:val="21"/>
              </w:rPr>
              <w:t>2.综合应用大数据—智能监控系统、远程视频监控系统、进销存预警系统、移动稽核平台等对所有险种、所有定点单位、参保人员开展智能审核和智慧稽核。</w:t>
            </w:r>
          </w:p>
          <w:p>
            <w:pPr>
              <w:spacing w:line="320" w:lineRule="exact"/>
              <w:rPr>
                <w:rFonts w:asciiTheme="minorEastAsia" w:hAnsiTheme="minorEastAsia"/>
                <w:szCs w:val="21"/>
              </w:rPr>
            </w:pPr>
            <w:r>
              <w:rPr>
                <w:rFonts w:asciiTheme="minorEastAsia" w:hAnsiTheme="minorEastAsia"/>
                <w:szCs w:val="21"/>
              </w:rPr>
              <w:t>3.加强大数据的应用与分析，强化事前提醒、事中干预，充分调动定点单位加强自我管理的积极性，不断规范医疗保障服务。</w:t>
            </w:r>
          </w:p>
        </w:tc>
        <w:tc>
          <w:tcPr>
            <w:tcW w:w="2396" w:type="dxa"/>
            <w:vAlign w:val="center"/>
          </w:tcPr>
          <w:p>
            <w:pPr>
              <w:spacing w:line="320" w:lineRule="exact"/>
              <w:rPr>
                <w:rFonts w:asciiTheme="minorEastAsia" w:hAnsiTheme="minorEastAsia"/>
                <w:szCs w:val="21"/>
              </w:rPr>
            </w:pPr>
            <w:r>
              <w:rPr>
                <w:rFonts w:hint="eastAsia" w:asciiTheme="minorEastAsia" w:hAnsiTheme="minorEastAsia"/>
                <w:szCs w:val="21"/>
              </w:rPr>
              <w:t>1.定点医药机构现场检查全覆盖。</w:t>
            </w:r>
          </w:p>
          <w:p>
            <w:pPr>
              <w:spacing w:line="320" w:lineRule="exact"/>
              <w:rPr>
                <w:rFonts w:asciiTheme="minorEastAsia" w:hAnsiTheme="minorEastAsia"/>
                <w:szCs w:val="21"/>
              </w:rPr>
            </w:pPr>
            <w:r>
              <w:rPr>
                <w:rFonts w:hint="eastAsia" w:asciiTheme="minorEastAsia" w:hAnsiTheme="minorEastAsia"/>
                <w:szCs w:val="21"/>
              </w:rPr>
              <w:t>2.定点医药机构智能监控检查全覆盖。</w:t>
            </w:r>
          </w:p>
        </w:tc>
        <w:tc>
          <w:tcPr>
            <w:tcW w:w="1274" w:type="dxa"/>
            <w:vAlign w:val="center"/>
          </w:tcPr>
          <w:p>
            <w:pPr>
              <w:spacing w:line="360" w:lineRule="exact"/>
              <w:jc w:val="center"/>
              <w:rPr>
                <w:rFonts w:asciiTheme="minorEastAsia" w:hAnsiTheme="minorEastAsia"/>
                <w:szCs w:val="21"/>
              </w:rPr>
            </w:pPr>
            <w:r>
              <w:rPr>
                <w:rFonts w:hint="eastAsia" w:asciiTheme="minorEastAsia" w:hAnsiTheme="minorEastAsia"/>
                <w:szCs w:val="21"/>
              </w:rPr>
              <w:t>医保中心</w:t>
            </w:r>
          </w:p>
          <w:p>
            <w:pPr>
              <w:spacing w:line="360" w:lineRule="exact"/>
              <w:jc w:val="center"/>
              <w:rPr>
                <w:rFonts w:asciiTheme="minorEastAsia" w:hAnsiTheme="minorEastAsia"/>
                <w:szCs w:val="21"/>
              </w:rPr>
            </w:pPr>
            <w:r>
              <w:rPr>
                <w:rFonts w:hint="eastAsia" w:asciiTheme="minorEastAsia" w:hAnsiTheme="minorEastAsia"/>
                <w:szCs w:val="21"/>
              </w:rPr>
              <w:t>（非行政检查事项，参照执行）</w:t>
            </w:r>
          </w:p>
        </w:tc>
      </w:tr>
    </w:tbl>
    <w:p>
      <w:pPr>
        <w:spacing w:line="560" w:lineRule="exact"/>
        <w:ind w:firstLine="640" w:firstLineChars="200"/>
        <w:rPr>
          <w:rFonts w:ascii="方正黑体_GBK" w:eastAsia="方正黑体_GBK"/>
          <w:sz w:val="32"/>
          <w:szCs w:val="32"/>
        </w:rPr>
      </w:pPr>
      <w:r>
        <w:rPr>
          <w:rFonts w:ascii="方正黑体_GBK" w:eastAsia="方正黑体_GBK"/>
          <w:sz w:val="32"/>
          <w:szCs w:val="32"/>
        </w:rPr>
        <w:t>四</w:t>
      </w:r>
      <w:r>
        <w:rPr>
          <w:rFonts w:hint="eastAsia" w:ascii="方正黑体_GBK" w:eastAsia="方正黑体_GBK"/>
          <w:sz w:val="32"/>
          <w:szCs w:val="32"/>
        </w:rPr>
        <w:t>、保障措施</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（一）做好计划方案的实施保障。</w:t>
      </w:r>
      <w:r>
        <w:rPr>
          <w:rFonts w:hint="eastAsia" w:ascii="方正仿宋_GBK" w:eastAsia="方正仿宋_GBK"/>
          <w:sz w:val="32"/>
          <w:szCs w:val="32"/>
        </w:rPr>
        <w:t>各责任处室要对照检查项目和重点，制定具体检查方案，分管领导应加强对检查方案的审核把关，推进检查实施。专项检查前，需召集检查人员统一思想、部署方案、进行培训，提升检查人员的履职能力。</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（二）建立权责统一的责任制度。</w:t>
      </w:r>
      <w:r>
        <w:rPr>
          <w:rFonts w:hint="eastAsia" w:ascii="方正仿宋_GBK" w:eastAsia="方正仿宋_GBK"/>
          <w:sz w:val="32"/>
          <w:szCs w:val="32"/>
        </w:rPr>
        <w:t>严格执行“谁检查、谁负责”“谁处罚、谁负责”责任制度。检查中严格落实“亮证检查”“过程全程记录”等要求，充分运用提醒、约谈、督办等柔性检查手段，引导、促动违规问题的整改，发现违法行为严格按照法定程序处置。</w:t>
      </w:r>
    </w:p>
    <w:p>
      <w:pPr>
        <w:spacing w:line="560" w:lineRule="exact"/>
        <w:ind w:firstLine="640" w:firstLineChars="200"/>
        <w:rPr>
          <w:rFonts w:ascii="方正仿宋_GBK" w:eastAsia="方正仿宋_GBK"/>
          <w:sz w:val="32"/>
          <w:szCs w:val="32"/>
        </w:rPr>
      </w:pPr>
      <w:r>
        <w:rPr>
          <w:rFonts w:hint="eastAsia" w:ascii="方正楷体_GBK" w:eastAsia="方正楷体_GBK"/>
          <w:sz w:val="32"/>
          <w:szCs w:val="32"/>
        </w:rPr>
        <w:t>（三）严格检查成效的考核管理。</w:t>
      </w:r>
      <w:r>
        <w:rPr>
          <w:rFonts w:hint="eastAsia" w:ascii="方正仿宋_GBK" w:eastAsia="方正仿宋_GBK"/>
          <w:sz w:val="32"/>
          <w:szCs w:val="32"/>
        </w:rPr>
        <w:t>组织实施前，检查方案报规划财务和法规处备案；检查中对疑难问题、共性问题、特殊问题要专题研究，寻求破解对策；检查后要形成总结报规划财务和法规处，11月底前完成报送。年底召开检查专项汇报会。</w:t>
      </w:r>
    </w:p>
    <w:p>
      <w:pPr>
        <w:spacing w:line="560" w:lineRule="exact"/>
        <w:rPr>
          <w:rFonts w:ascii="方正仿宋_GBK" w:eastAsia="方正仿宋_GBK"/>
          <w:sz w:val="32"/>
          <w:szCs w:val="32"/>
        </w:rPr>
      </w:pPr>
    </w:p>
    <w:p>
      <w:pPr>
        <w:spacing w:line="560" w:lineRule="exact"/>
        <w:rPr>
          <w:rFonts w:ascii="方正仿宋_GBK" w:eastAsia="方正仿宋_GBK"/>
          <w:sz w:val="32"/>
          <w:szCs w:val="32"/>
        </w:rPr>
      </w:pPr>
    </w:p>
    <w:p>
      <w:pPr>
        <w:spacing w:line="560" w:lineRule="exact"/>
        <w:ind w:right="640"/>
        <w:jc w:val="right"/>
        <w:rPr>
          <w:rFonts w:ascii="方正仿宋_GBK" w:eastAsia="方正仿宋_GBK"/>
          <w:sz w:val="32"/>
          <w:szCs w:val="32"/>
        </w:rPr>
      </w:pPr>
      <w:r>
        <w:rPr>
          <w:rFonts w:hint="eastAsia" w:ascii="方正仿宋_GBK" w:eastAsia="方正仿宋_GBK"/>
          <w:sz w:val="32"/>
          <w:szCs w:val="32"/>
        </w:rPr>
        <w:t>南通市医疗保障局</w:t>
      </w:r>
    </w:p>
    <w:p>
      <w:pPr>
        <w:spacing w:line="560" w:lineRule="exact"/>
        <w:ind w:right="640"/>
        <w:jc w:val="right"/>
        <w:rPr>
          <w:rFonts w:ascii="方正仿宋_GBK" w:eastAsia="方正仿宋_GBK"/>
          <w:sz w:val="32"/>
          <w:szCs w:val="32"/>
        </w:rPr>
      </w:pPr>
      <w:r>
        <w:rPr>
          <w:rFonts w:hint="eastAsia" w:ascii="方正仿宋_GBK" w:eastAsia="方正仿宋_GBK"/>
          <w:sz w:val="32"/>
          <w:szCs w:val="32"/>
        </w:rPr>
        <w:t>2021年1月19日</w:t>
      </w:r>
    </w:p>
    <w:p>
      <w:pPr>
        <w:spacing w:line="590" w:lineRule="exact"/>
        <w:rPr>
          <w:rFonts w:ascii="方正仿宋_GBK" w:eastAsia="方正仿宋_GBK"/>
          <w:sz w:val="32"/>
          <w:szCs w:val="32"/>
        </w:rPr>
      </w:pPr>
    </w:p>
    <w:p>
      <w:pPr>
        <w:spacing w:line="590" w:lineRule="exact"/>
        <w:ind w:left="1198" w:leftChars="142" w:hanging="900" w:hangingChars="300"/>
        <w:rPr>
          <w:rFonts w:ascii="Times New Roman" w:hAnsi="Times New Roman" w:eastAsia="方正仿宋_GBK"/>
          <w:sz w:val="30"/>
          <w:szCs w:val="30"/>
        </w:rPr>
      </w:pPr>
      <w:r>
        <w:rPr>
          <w:rFonts w:ascii="Times New Roman" w:hAnsi="Times New Roman" w:eastAsia="方正仿宋_GBK"/>
          <w:sz w:val="30"/>
          <w:szCs w:val="30"/>
        </w:rPr>
        <mc:AlternateContent>
          <mc:Choice Requires="wps">
            <w:drawing>
              <wp:anchor distT="0" distB="0" distL="114300" distR="114300" simplePos="0" relativeHeight="251662336" behindDoc="0" locked="0" layoutInCell="1" allowOverlap="1">
                <wp:simplePos x="0" y="0"/>
                <wp:positionH relativeFrom="column">
                  <wp:posOffset>29845</wp:posOffset>
                </wp:positionH>
                <wp:positionV relativeFrom="paragraph">
                  <wp:posOffset>86360</wp:posOffset>
                </wp:positionV>
                <wp:extent cx="5543550" cy="0"/>
                <wp:effectExtent l="0" t="0" r="1905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5pt;margin-top:6.8pt;height:0pt;width:436.5pt;z-index:251662336;mso-width-relative:page;mso-height-relative:page;" filled="f" stroked="t" coordsize="21600,21600" o:gfxdata="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QhwTXTAAAABwEAAA8A&#10;AAAAAAAAAQAgAAAAIgAAAGRycy9kb3ducmV2LnhtbFBLAQIUABQAAAAIAIdO4kARS4Vk4wEAAKoD&#10;AAAOAAAAAAAAAAEAIAAAACIBAABkcnMvZTJvRG9jLnhtbFBLBQYAAAAABgAGAFkBAAB3BQAAAAA=&#10;">
                <v:fill on="f" focussize="0,0"/>
                <v:stroke color="#000000" joinstyle="round"/>
                <v:imagedata o:title=""/>
                <o:lock v:ext="edit" aspectratio="f"/>
              </v:line>
            </w:pict>
          </mc:Fallback>
        </mc:AlternateContent>
      </w:r>
      <w:r>
        <w:rPr>
          <w:rFonts w:hint="eastAsia" w:ascii="Times New Roman" w:hAnsi="Times New Roman" w:eastAsia="方正仿宋_GBK"/>
          <w:sz w:val="30"/>
          <w:szCs w:val="30"/>
        </w:rPr>
        <w:t>抄送：江苏省医疗保障局，南通市司法局，各县（市）、区医疗保障局</w:t>
      </w:r>
    </w:p>
    <w:p>
      <w:pPr>
        <w:spacing w:line="590" w:lineRule="exact"/>
        <w:ind w:firstLine="300" w:firstLineChars="100"/>
        <w:rPr>
          <w:rFonts w:ascii="Times New Roman" w:hAnsi="Times New Roman"/>
        </w:rPr>
      </w:pPr>
      <w:r>
        <w:rPr>
          <w:rFonts w:ascii="Times New Roman" w:hAnsi="Times New Roman" w:eastAsia="方正仿宋_GBK"/>
          <w:sz w:val="30"/>
          <w:szCs w:val="30"/>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13335</wp:posOffset>
                </wp:positionV>
                <wp:extent cx="554355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65pt;margin-top:1.05pt;height:0pt;width:436.5pt;z-index:251660288;mso-width-relative:page;mso-height-relative:page;" filled="f" stroked="t" coordsize="21600,21600" o:gfxdata="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u3OwjUAAAABgEAAA8A&#10;AAAAAAAAAQAgAAAAIgAAAGRycy9kb3ducmV2LnhtbFBLAQIUABQAAAAIAIdO4kAs0fBT4gEAAKoD&#10;AAAOAAAAAAAAAAEAIAAAACMBAABkcnMvZTJvRG9jLnhtbFBLBQYAAAAABgAGAFkBAAB3BQAAAAA=&#10;">
                <v:fill on="f" focussize="0,0"/>
                <v:stroke color="#000000" joinstyle="round"/>
                <v:imagedata o:title=""/>
                <o:lock v:ext="edit" aspectratio="f"/>
              </v:line>
            </w:pict>
          </mc:Fallback>
        </mc:AlternateContent>
      </w:r>
      <w:r>
        <w:rPr>
          <w:rFonts w:ascii="Times New Roman" w:hAnsi="Times New Roman" w:eastAsia="方正仿宋_GBK"/>
          <w:sz w:val="30"/>
          <w:szCs w:val="30"/>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422910</wp:posOffset>
                </wp:positionV>
                <wp:extent cx="5543550" cy="0"/>
                <wp:effectExtent l="11430" t="12065" r="7620" b="698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65pt;margin-top:33.3pt;height:0pt;width:436.5pt;z-index:251661312;mso-width-relative:page;mso-height-relative:page;" filled="f" stroked="t" coordsize="21600,21600" o:gfxdata="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OUmQPWAAAACAEA&#10;AA8AAAAAAAAAAQAgAAAAIgAAAGRycy9kb3ducmV2LnhtbFBLAQIUABQAAAAIAIdO4kD4WvP34wEA&#10;AKoDAAAOAAAAAAAAAAEAIAAAACUBAABkcnMvZTJvRG9jLnhtbFBLBQYAAAAABgAGAFkBAAB6BQAA&#10;AAA=&#10;">
                <v:fill on="f" focussize="0,0"/>
                <v:stroke color="#000000" joinstyle="round"/>
                <v:imagedata o:title=""/>
                <o:lock v:ext="edit" aspectratio="f"/>
              </v:line>
            </w:pict>
          </mc:Fallback>
        </mc:AlternateContent>
      </w:r>
      <w:r>
        <w:rPr>
          <w:rFonts w:ascii="Times New Roman" w:hAnsi="Times New Roman" w:eastAsia="方正仿宋_GBK"/>
          <w:sz w:val="30"/>
          <w:szCs w:val="30"/>
        </w:rPr>
        <w:t>南通市医疗保障局办公室            2021年1月</w:t>
      </w:r>
      <w:r>
        <w:rPr>
          <w:rFonts w:hint="eastAsia" w:ascii="Times New Roman" w:hAnsi="Times New Roman" w:eastAsia="方正仿宋_GBK"/>
          <w:sz w:val="30"/>
          <w:szCs w:val="30"/>
        </w:rPr>
        <w:t>19</w:t>
      </w:r>
      <w:r>
        <w:rPr>
          <w:rFonts w:ascii="Times New Roman" w:hAnsi="Times New Roman" w:eastAsia="方正仿宋_GBK"/>
          <w:sz w:val="30"/>
          <w:szCs w:val="30"/>
        </w:rPr>
        <w:t>日印发</w:t>
      </w:r>
    </w:p>
    <w:p/>
    <w:sectPr>
      <w:footerReference r:id="rId3" w:type="default"/>
      <w:pgSz w:w="11906" w:h="16838"/>
      <w:pgMar w:top="1814" w:right="1644" w:bottom="1985" w:left="1588" w:header="851" w:footer="119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8587978"/>
      <w:docPartObj>
        <w:docPartGallery w:val="AutoText"/>
      </w:docPartObj>
    </w:sdtPr>
    <w:sdtEndPr>
      <w:rPr>
        <w:rFonts w:asciiTheme="minorEastAsia" w:hAnsiTheme="minorEastAsia"/>
        <w:sz w:val="28"/>
        <w:szCs w:val="28"/>
        <w:lang w:val="zh-CN"/>
      </w:rPr>
    </w:sdtEndPr>
    <w:sdtContent>
      <w:p>
        <w:pPr>
          <w:pStyle w:val="2"/>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72"/>
    <w:rsid w:val="00291135"/>
    <w:rsid w:val="003D364F"/>
    <w:rsid w:val="005D6621"/>
    <w:rsid w:val="008109D5"/>
    <w:rsid w:val="00C91572"/>
    <w:rsid w:val="00EA3E70"/>
    <w:rsid w:val="00FD639F"/>
    <w:rsid w:val="23663FC3"/>
    <w:rsid w:val="6BEC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325</Words>
  <Characters>1858</Characters>
  <Lines>15</Lines>
  <Paragraphs>4</Paragraphs>
  <TotalTime>11</TotalTime>
  <ScaleCrop>false</ScaleCrop>
  <LinksUpToDate>false</LinksUpToDate>
  <CharactersWithSpaces>2179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2021-01-20T05:39:00Z</dcterms:created>
  <dc:creator>李  慧</dc:creator>
  <cp:lastModifiedBy>Administrator</cp:lastModifiedBy>
  <dcterms:modified xsi:type="dcterms:W3CDTF">2022-01-13T02:15:07Z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F53E5B6A2B5F454BB58E1B69A5D45F0F</vt:lpwstr>
  </property>
</Properties>
</file>